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Exchange Act of 1934</w:t>
      </w:r>
    </w:p>
    <w:p>
      <w:pPr>
        <w:spacing w:after="0" w:line="261"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20, 2014</w:t>
      </w:r>
    </w:p>
    <w:p>
      <w:pPr>
        <w:spacing w:after="0" w:line="307"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EXLSERVICE HOLDINGS, INC.</w:t>
      </w:r>
    </w:p>
    <w:p>
      <w:pPr>
        <w:spacing w:after="0" w:line="2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310" w:right="799" w:bottom="1440" w:gutter="0" w:footer="0" w:header="0"/>
        </w:sectPr>
      </w:pPr>
    </w:p>
    <w:p>
      <w:pPr>
        <w:spacing w:after="0" w:line="200" w:lineRule="exact"/>
        <w:rPr>
          <w:sz w:val="24"/>
          <w:szCs w:val="24"/>
          <w:color w:val="auto"/>
        </w:rPr>
      </w:pPr>
    </w:p>
    <w:p>
      <w:pPr>
        <w:spacing w:after="0" w:line="334"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4"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460" w:space="720"/>
            <w:col w:w="1980"/>
          </w:cols>
          <w:pgMar w:left="240" w:top="310" w:right="799" w:bottom="1440" w:gutter="0" w:footer="0" w:header="0"/>
          <w:type w:val="continuous"/>
        </w:sectPr>
      </w:pPr>
    </w:p>
    <w:p>
      <w:pPr>
        <w:spacing w:after="0" w:line="6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offices)</w:t>
      </w:r>
    </w:p>
    <w:p>
      <w:pPr>
        <w:spacing w:after="0" w:line="261"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30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r>
        <w:rPr>
          <w:rFonts w:ascii="Arial" w:cs="Arial" w:eastAsia="Arial" w:hAnsi="Arial"/>
          <w:sz w:val="14"/>
          <w:szCs w:val="14"/>
          <w:b w:val="1"/>
          <w:bCs w:val="1"/>
          <w:color w:val="auto"/>
        </w:rPr>
        <w:t>)</w:t>
      </w:r>
    </w:p>
    <w:p>
      <w:pPr>
        <w:sectPr>
          <w:pgSz w:w="11900" w:h="16838" w:orient="portrait"/>
          <w:cols w:equalWidth="0" w:num="1">
            <w:col w:w="10860"/>
          </w:cols>
          <w:pgMar w:left="240" w:top="310" w:right="799" w:bottom="1440" w:gutter="0" w:footer="0" w:header="0"/>
          <w:type w:val="continuous"/>
        </w:sect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3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647700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10" w:right="799" w:bottom="1440" w:gutter="0" w:footer="0" w:header="0"/>
          <w:type w:val="continuous"/>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0" w:firstLine="648"/>
        <w:spacing w:after="0" w:line="277" w:lineRule="auto"/>
        <w:rPr>
          <w:sz w:val="20"/>
          <w:szCs w:val="20"/>
          <w:color w:val="auto"/>
        </w:rPr>
      </w:pPr>
      <w:r>
        <w:rPr>
          <w:rFonts w:ascii="Arial" w:cs="Arial" w:eastAsia="Arial" w:hAnsi="Arial"/>
          <w:sz w:val="18"/>
          <w:szCs w:val="18"/>
          <w:color w:val="auto"/>
        </w:rPr>
        <w:t>On June 20, 2014, Mr. William Bloom resigned from his position as President, Global Client Services of ExlService Holdings, Inc. (the “Company”), effective as of July 18, 2014.</w:t>
      </w:r>
    </w:p>
    <w:p>
      <w:pPr>
        <w:spacing w:after="0" w:line="2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June 20, 2014, the Company held its annual meeting of stockholders. At the meeting, stockholders voted on the following items: (1) the election of three Class II members of the Board of Directors of the Company, (2) the ratification of the selection of Ernst &amp; Young LLP as the independent registered public accounting firm of the Company for fiscal year 2014, (3) the approval of the compensation of the named executive officers of the Company and (4) the approval of the performance-based provisions of the 2006 Omnibus Award Plan for Section 162(m) purposes.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the three nominees for election to the Board of Directors was duly elected to serve as a director until the annual meeting of stockholders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2017 or until his or her successor is duly elected and qualified in accordance with the by-laws of the Company. The final results of the voting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3200" w:type="dxa"/>
            <w:vAlign w:val="bottom"/>
          </w:tcPr>
          <w:p>
            <w:pPr>
              <w:jc w:val="center"/>
              <w:ind w:left="230"/>
              <w:spacing w:after="0"/>
              <w:rPr>
                <w:sz w:val="20"/>
                <w:szCs w:val="20"/>
                <w:color w:val="auto"/>
              </w:rPr>
            </w:pPr>
            <w:r>
              <w:rPr>
                <w:rFonts w:ascii="Arial" w:cs="Arial" w:eastAsia="Arial" w:hAnsi="Arial"/>
                <w:sz w:val="18"/>
                <w:szCs w:val="18"/>
                <w:b w:val="1"/>
                <w:bCs w:val="1"/>
                <w:color w:val="auto"/>
                <w:w w:val="96"/>
              </w:rPr>
              <w:t>For</w:t>
            </w:r>
          </w:p>
        </w:tc>
        <w:tc>
          <w:tcPr>
            <w:tcW w:w="2680" w:type="dxa"/>
            <w:vAlign w:val="bottom"/>
          </w:tcPr>
          <w:p>
            <w:pPr>
              <w:ind w:left="1040"/>
              <w:spacing w:after="0"/>
              <w:rPr>
                <w:sz w:val="20"/>
                <w:szCs w:val="20"/>
                <w:color w:val="auto"/>
              </w:rPr>
            </w:pPr>
            <w:r>
              <w:rPr>
                <w:rFonts w:ascii="Arial" w:cs="Arial" w:eastAsia="Arial" w:hAnsi="Arial"/>
                <w:sz w:val="18"/>
                <w:szCs w:val="18"/>
                <w:b w:val="1"/>
                <w:bCs w:val="1"/>
                <w:color w:val="auto"/>
              </w:rPr>
              <w:t>Withhold</w:t>
            </w:r>
          </w:p>
        </w:tc>
        <w:tc>
          <w:tcPr>
            <w:tcW w:w="228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Broker Non-Votes</w:t>
            </w:r>
          </w:p>
        </w:tc>
      </w:tr>
      <w:tr>
        <w:trPr>
          <w:trHeight w:val="365"/>
        </w:trPr>
        <w:tc>
          <w:tcPr>
            <w:tcW w:w="2520" w:type="dxa"/>
            <w:vAlign w:val="bottom"/>
          </w:tcPr>
          <w:p>
            <w:pPr>
              <w:spacing w:after="0"/>
              <w:rPr>
                <w:sz w:val="20"/>
                <w:szCs w:val="20"/>
                <w:color w:val="auto"/>
              </w:rPr>
            </w:pPr>
            <w:r>
              <w:rPr>
                <w:rFonts w:ascii="Arial" w:cs="Arial" w:eastAsia="Arial" w:hAnsi="Arial"/>
                <w:sz w:val="18"/>
                <w:szCs w:val="18"/>
                <w:color w:val="auto"/>
              </w:rPr>
              <w:t>David B. Kelso</w:t>
            </w:r>
          </w:p>
        </w:tc>
        <w:tc>
          <w:tcPr>
            <w:tcW w:w="3200" w:type="dxa"/>
            <w:vAlign w:val="bottom"/>
          </w:tcPr>
          <w:p>
            <w:pPr>
              <w:jc w:val="center"/>
              <w:ind w:left="230"/>
              <w:spacing w:after="0"/>
              <w:rPr>
                <w:sz w:val="20"/>
                <w:szCs w:val="20"/>
                <w:color w:val="auto"/>
              </w:rPr>
            </w:pPr>
            <w:r>
              <w:rPr>
                <w:rFonts w:ascii="Arial" w:cs="Arial" w:eastAsia="Arial" w:hAnsi="Arial"/>
                <w:sz w:val="18"/>
                <w:szCs w:val="18"/>
                <w:color w:val="auto"/>
                <w:w w:val="88"/>
              </w:rPr>
              <w:t>29,556,141</w:t>
            </w:r>
          </w:p>
        </w:tc>
        <w:tc>
          <w:tcPr>
            <w:tcW w:w="2680" w:type="dxa"/>
            <w:vAlign w:val="bottom"/>
          </w:tcPr>
          <w:p>
            <w:pPr>
              <w:jc w:val="center"/>
              <w:ind w:left="50"/>
              <w:spacing w:after="0"/>
              <w:rPr>
                <w:sz w:val="20"/>
                <w:szCs w:val="20"/>
                <w:color w:val="auto"/>
              </w:rPr>
            </w:pPr>
            <w:r>
              <w:rPr>
                <w:rFonts w:ascii="Arial" w:cs="Arial" w:eastAsia="Arial" w:hAnsi="Arial"/>
                <w:sz w:val="18"/>
                <w:szCs w:val="18"/>
                <w:color w:val="auto"/>
                <w:w w:val="90"/>
              </w:rPr>
              <w:t>56,310</w:t>
            </w:r>
          </w:p>
        </w:tc>
        <w:tc>
          <w:tcPr>
            <w:tcW w:w="2280" w:type="dxa"/>
            <w:vAlign w:val="bottom"/>
          </w:tcPr>
          <w:p>
            <w:pPr>
              <w:jc w:val="center"/>
              <w:ind w:left="810"/>
              <w:spacing w:after="0"/>
              <w:rPr>
                <w:sz w:val="20"/>
                <w:szCs w:val="20"/>
                <w:color w:val="auto"/>
              </w:rPr>
            </w:pPr>
            <w:r>
              <w:rPr>
                <w:rFonts w:ascii="Arial" w:cs="Arial" w:eastAsia="Arial" w:hAnsi="Arial"/>
                <w:sz w:val="18"/>
                <w:szCs w:val="18"/>
                <w:color w:val="auto"/>
                <w:w w:val="89"/>
              </w:rPr>
              <w:t>836,573</w:t>
            </w:r>
          </w:p>
        </w:tc>
      </w:tr>
      <w:tr>
        <w:trPr>
          <w:trHeight w:val="365"/>
        </w:trPr>
        <w:tc>
          <w:tcPr>
            <w:tcW w:w="2520" w:type="dxa"/>
            <w:vAlign w:val="bottom"/>
          </w:tcPr>
          <w:p>
            <w:pPr>
              <w:spacing w:after="0"/>
              <w:rPr>
                <w:sz w:val="20"/>
                <w:szCs w:val="20"/>
                <w:color w:val="auto"/>
              </w:rPr>
            </w:pPr>
            <w:r>
              <w:rPr>
                <w:rFonts w:ascii="Arial" w:cs="Arial" w:eastAsia="Arial" w:hAnsi="Arial"/>
                <w:sz w:val="18"/>
                <w:szCs w:val="18"/>
                <w:color w:val="auto"/>
              </w:rPr>
              <w:t>Clyde W. Ostler</w:t>
            </w:r>
          </w:p>
        </w:tc>
        <w:tc>
          <w:tcPr>
            <w:tcW w:w="3200" w:type="dxa"/>
            <w:vAlign w:val="bottom"/>
          </w:tcPr>
          <w:p>
            <w:pPr>
              <w:jc w:val="center"/>
              <w:ind w:left="230"/>
              <w:spacing w:after="0"/>
              <w:rPr>
                <w:sz w:val="20"/>
                <w:szCs w:val="20"/>
                <w:color w:val="auto"/>
              </w:rPr>
            </w:pPr>
            <w:r>
              <w:rPr>
                <w:rFonts w:ascii="Arial" w:cs="Arial" w:eastAsia="Arial" w:hAnsi="Arial"/>
                <w:sz w:val="18"/>
                <w:szCs w:val="18"/>
                <w:color w:val="auto"/>
                <w:w w:val="88"/>
              </w:rPr>
              <w:t>27,490,444</w:t>
            </w:r>
          </w:p>
        </w:tc>
        <w:tc>
          <w:tcPr>
            <w:tcW w:w="2680" w:type="dxa"/>
            <w:vAlign w:val="bottom"/>
          </w:tcPr>
          <w:p>
            <w:pPr>
              <w:jc w:val="center"/>
              <w:ind w:left="70"/>
              <w:spacing w:after="0"/>
              <w:rPr>
                <w:sz w:val="20"/>
                <w:szCs w:val="20"/>
                <w:color w:val="auto"/>
              </w:rPr>
            </w:pPr>
            <w:r>
              <w:rPr>
                <w:rFonts w:ascii="Arial" w:cs="Arial" w:eastAsia="Arial" w:hAnsi="Arial"/>
                <w:sz w:val="18"/>
                <w:szCs w:val="18"/>
                <w:color w:val="auto"/>
                <w:w w:val="89"/>
              </w:rPr>
              <w:t>2,122,007</w:t>
            </w:r>
          </w:p>
        </w:tc>
        <w:tc>
          <w:tcPr>
            <w:tcW w:w="2280" w:type="dxa"/>
            <w:vAlign w:val="bottom"/>
          </w:tcPr>
          <w:p>
            <w:pPr>
              <w:jc w:val="center"/>
              <w:ind w:left="810"/>
              <w:spacing w:after="0"/>
              <w:rPr>
                <w:sz w:val="20"/>
                <w:szCs w:val="20"/>
                <w:color w:val="auto"/>
              </w:rPr>
            </w:pPr>
            <w:r>
              <w:rPr>
                <w:rFonts w:ascii="Arial" w:cs="Arial" w:eastAsia="Arial" w:hAnsi="Arial"/>
                <w:sz w:val="18"/>
                <w:szCs w:val="18"/>
                <w:color w:val="auto"/>
                <w:w w:val="89"/>
              </w:rPr>
              <w:t>836,573</w:t>
            </w:r>
          </w:p>
        </w:tc>
      </w:tr>
      <w:tr>
        <w:trPr>
          <w:trHeight w:val="365"/>
        </w:trPr>
        <w:tc>
          <w:tcPr>
            <w:tcW w:w="2520" w:type="dxa"/>
            <w:vAlign w:val="bottom"/>
          </w:tcPr>
          <w:p>
            <w:pPr>
              <w:ind w:left="60"/>
              <w:spacing w:after="0"/>
              <w:rPr>
                <w:sz w:val="20"/>
                <w:szCs w:val="20"/>
                <w:color w:val="auto"/>
              </w:rPr>
            </w:pPr>
            <w:r>
              <w:rPr>
                <w:rFonts w:ascii="Arial" w:cs="Arial" w:eastAsia="Arial" w:hAnsi="Arial"/>
                <w:sz w:val="18"/>
                <w:szCs w:val="18"/>
                <w:color w:val="auto"/>
              </w:rPr>
              <w:t>Som Mittal</w:t>
            </w:r>
          </w:p>
        </w:tc>
        <w:tc>
          <w:tcPr>
            <w:tcW w:w="3200" w:type="dxa"/>
            <w:vAlign w:val="bottom"/>
          </w:tcPr>
          <w:p>
            <w:pPr>
              <w:jc w:val="center"/>
              <w:ind w:left="230"/>
              <w:spacing w:after="0"/>
              <w:rPr>
                <w:sz w:val="20"/>
                <w:szCs w:val="20"/>
                <w:color w:val="auto"/>
              </w:rPr>
            </w:pPr>
            <w:r>
              <w:rPr>
                <w:rFonts w:ascii="Arial" w:cs="Arial" w:eastAsia="Arial" w:hAnsi="Arial"/>
                <w:sz w:val="18"/>
                <w:szCs w:val="18"/>
                <w:color w:val="auto"/>
                <w:w w:val="88"/>
              </w:rPr>
              <w:t>29,554,791</w:t>
            </w:r>
          </w:p>
        </w:tc>
        <w:tc>
          <w:tcPr>
            <w:tcW w:w="2680" w:type="dxa"/>
            <w:vAlign w:val="bottom"/>
          </w:tcPr>
          <w:p>
            <w:pPr>
              <w:jc w:val="center"/>
              <w:ind w:left="50"/>
              <w:spacing w:after="0"/>
              <w:rPr>
                <w:sz w:val="20"/>
                <w:szCs w:val="20"/>
                <w:color w:val="auto"/>
              </w:rPr>
            </w:pPr>
            <w:r>
              <w:rPr>
                <w:rFonts w:ascii="Arial" w:cs="Arial" w:eastAsia="Arial" w:hAnsi="Arial"/>
                <w:sz w:val="18"/>
                <w:szCs w:val="18"/>
                <w:color w:val="auto"/>
                <w:w w:val="90"/>
              </w:rPr>
              <w:t>57,660</w:t>
            </w:r>
          </w:p>
        </w:tc>
        <w:tc>
          <w:tcPr>
            <w:tcW w:w="2280" w:type="dxa"/>
            <w:vAlign w:val="bottom"/>
          </w:tcPr>
          <w:p>
            <w:pPr>
              <w:jc w:val="center"/>
              <w:ind w:left="810"/>
              <w:spacing w:after="0"/>
              <w:rPr>
                <w:sz w:val="20"/>
                <w:szCs w:val="20"/>
                <w:color w:val="auto"/>
              </w:rPr>
            </w:pPr>
            <w:r>
              <w:rPr>
                <w:rFonts w:ascii="Arial" w:cs="Arial" w:eastAsia="Arial" w:hAnsi="Arial"/>
                <w:sz w:val="18"/>
                <w:szCs w:val="18"/>
                <w:color w:val="auto"/>
                <w:w w:val="89"/>
              </w:rPr>
              <w:t>836,573</w:t>
            </w:r>
          </w:p>
        </w:tc>
      </w:tr>
    </w:tbl>
    <w:p>
      <w:pPr>
        <w:spacing w:after="0" w:line="25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proposal to ratify the selection of Ernst &amp; Young LLP as the independent registered public accounting firm of the Company for fiscal year 2014 was approved. The final results of the voting were as follows:</w:t>
      </w:r>
    </w:p>
    <w:p>
      <w:pPr>
        <w:sectPr>
          <w:pgSz w:w="11900" w:h="16838" w:orient="portrait"/>
          <w:cols w:equalWidth="0" w:num="1">
            <w:col w:w="11420"/>
          </w:cols>
          <w:pgMar w:left="240" w:top="486" w:right="239" w:bottom="1440" w:gutter="0" w:footer="0" w:header="0"/>
        </w:sectPr>
      </w:pP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540"/>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Broker Non-Vote</w:t>
      </w:r>
    </w:p>
    <w:p>
      <w:pPr>
        <w:spacing w:after="0" w:line="184" w:lineRule="exact"/>
        <w:rPr>
          <w:sz w:val="20"/>
          <w:szCs w:val="20"/>
          <w:color w:val="auto"/>
        </w:rPr>
      </w:pPr>
    </w:p>
    <w:p>
      <w:pPr>
        <w:sectPr>
          <w:pgSz w:w="11900" w:h="16838" w:orient="portrait"/>
          <w:cols w:equalWidth="0" w:num="4">
            <w:col w:w="3260" w:space="720"/>
            <w:col w:w="2140" w:space="720"/>
            <w:col w:w="1780" w:space="720"/>
            <w:col w:w="2080"/>
          </w:cols>
          <w:pgMar w:left="240" w:top="486" w:right="23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30,169,347</w:t>
      </w:r>
    </w:p>
    <w:p>
      <w:pPr>
        <w:spacing w:after="0" w:line="20" w:lineRule="exact"/>
        <w:rPr>
          <w:sz w:val="20"/>
          <w:szCs w:val="20"/>
          <w:color w:val="auto"/>
        </w:rPr>
      </w:pPr>
      <w:r>
        <w:rPr>
          <w:sz w:val="20"/>
          <w:szCs w:val="20"/>
          <w:color w:val="auto"/>
        </w:rPr>
        <w:br w:type="column"/>
      </w:r>
    </w:p>
    <w:p>
      <w:pPr>
        <w:jc w:val="center"/>
        <w:ind w:right="1580"/>
        <w:spacing w:after="0"/>
        <w:rPr>
          <w:sz w:val="20"/>
          <w:szCs w:val="20"/>
          <w:color w:val="auto"/>
        </w:rPr>
      </w:pPr>
      <w:r>
        <w:rPr>
          <w:rFonts w:ascii="Arial" w:cs="Arial" w:eastAsia="Arial" w:hAnsi="Arial"/>
          <w:sz w:val="16"/>
          <w:szCs w:val="16"/>
          <w:color w:val="auto"/>
        </w:rPr>
        <w:t>251,957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27,720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280" w:space="720"/>
            <w:col w:w="2160" w:space="720"/>
            <w:col w:w="2360" w:space="720"/>
            <w:col w:w="1460"/>
          </w:cols>
          <w:pgMar w:left="240" w:top="486" w:right="239" w:bottom="1440" w:gutter="0" w:footer="0" w:header="0"/>
          <w:type w:val="continuous"/>
        </w:sectPr>
      </w:pPr>
    </w:p>
    <w:p>
      <w:pPr>
        <w:spacing w:after="0" w:line="25"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proposal to approve the compensation of the named executive officers of the Company was approved. The final results of the voting were as follows:</w:t>
      </w:r>
    </w:p>
    <w:p>
      <w:pPr>
        <w:sectPr>
          <w:pgSz w:w="11900" w:h="16838" w:orient="portrait"/>
          <w:cols w:equalWidth="0" w:num="1">
            <w:col w:w="11420"/>
          </w:cols>
          <w:pgMar w:left="240" w:top="486" w:right="239" w:bottom="1440" w:gutter="0" w:footer="0" w:header="0"/>
          <w:type w:val="continuous"/>
        </w:sectPr>
      </w:pP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For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1540"/>
        <w:spacing w:after="0"/>
        <w:rPr>
          <w:sz w:val="20"/>
          <w:szCs w:val="20"/>
          <w:color w:val="auto"/>
        </w:rPr>
      </w:pPr>
      <w:r>
        <w:rPr>
          <w:rFonts w:ascii="Arial" w:cs="Arial" w:eastAsia="Arial" w:hAnsi="Arial"/>
          <w:sz w:val="16"/>
          <w:szCs w:val="16"/>
          <w:b w:val="1"/>
          <w:bCs w:val="1"/>
          <w:color w:val="auto"/>
        </w:rPr>
        <w:t>Against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Abstain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Broker Non-Vote</w:t>
      </w:r>
    </w:p>
    <w:p>
      <w:pPr>
        <w:spacing w:after="0" w:line="184" w:lineRule="exact"/>
        <w:rPr>
          <w:sz w:val="20"/>
          <w:szCs w:val="20"/>
          <w:color w:val="auto"/>
        </w:rPr>
      </w:pPr>
    </w:p>
    <w:p>
      <w:pPr>
        <w:sectPr>
          <w:pgSz w:w="11900" w:h="16838" w:orient="portrait"/>
          <w:cols w:equalWidth="0" w:num="4">
            <w:col w:w="3260" w:space="720"/>
            <w:col w:w="2140" w:space="720"/>
            <w:col w:w="1780" w:space="720"/>
            <w:col w:w="2080"/>
          </w:cols>
          <w:pgMar w:left="240" w:top="486" w:right="23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29,030,169</w:t>
      </w:r>
    </w:p>
    <w:p>
      <w:pPr>
        <w:spacing w:after="0" w:line="20" w:lineRule="exact"/>
        <w:rPr>
          <w:sz w:val="20"/>
          <w:szCs w:val="20"/>
          <w:color w:val="auto"/>
        </w:rPr>
      </w:pPr>
      <w:r>
        <w:rPr>
          <w:sz w:val="20"/>
          <w:szCs w:val="20"/>
          <w:color w:val="auto"/>
        </w:rPr>
        <w:br w:type="column"/>
      </w:r>
    </w:p>
    <w:p>
      <w:pPr>
        <w:jc w:val="center"/>
        <w:ind w:right="1580"/>
        <w:spacing w:after="0"/>
        <w:rPr>
          <w:sz w:val="20"/>
          <w:szCs w:val="20"/>
          <w:color w:val="auto"/>
        </w:rPr>
      </w:pPr>
      <w:r>
        <w:rPr>
          <w:rFonts w:ascii="Arial" w:cs="Arial" w:eastAsia="Arial" w:hAnsi="Arial"/>
          <w:sz w:val="16"/>
          <w:szCs w:val="16"/>
          <w:color w:val="auto"/>
        </w:rPr>
        <w:t>553,666</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Arial" w:cs="Arial" w:eastAsia="Arial" w:hAnsi="Arial"/>
          <w:sz w:val="16"/>
          <w:szCs w:val="16"/>
          <w:color w:val="auto"/>
        </w:rPr>
        <w:t>28,616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836,573</w:t>
      </w:r>
    </w:p>
    <w:p>
      <w:pPr>
        <w:spacing w:after="0" w:line="200" w:lineRule="exact"/>
        <w:rPr>
          <w:sz w:val="20"/>
          <w:szCs w:val="20"/>
          <w:color w:val="auto"/>
        </w:rPr>
      </w:pPr>
    </w:p>
    <w:p>
      <w:pPr>
        <w:sectPr>
          <w:pgSz w:w="11900" w:h="16838" w:orient="portrait"/>
          <w:cols w:equalWidth="0" w:num="4">
            <w:col w:w="3280" w:space="720"/>
            <w:col w:w="2160" w:space="720"/>
            <w:col w:w="2100" w:space="720"/>
            <w:col w:w="1720"/>
          </w:cols>
          <w:pgMar w:left="240" w:top="486" w:right="239" w:bottom="1440" w:gutter="0" w:footer="0" w:header="0"/>
          <w:type w:val="continuous"/>
        </w:sectPr>
      </w:pPr>
    </w:p>
    <w:p>
      <w:pPr>
        <w:spacing w:after="0" w:line="4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proposal to approve the performance-based provisions of the 2006 Omnibus Award Plan for Section 162(m) purposes were approved. The final results of the voting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28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Against</w:t>
            </w:r>
          </w:p>
        </w:tc>
        <w:tc>
          <w:tcPr>
            <w:tcW w:w="3220" w:type="dxa"/>
            <w:vAlign w:val="bottom"/>
          </w:tcPr>
          <w:p>
            <w:pPr>
              <w:jc w:val="center"/>
              <w:ind w:left="650"/>
              <w:spacing w:after="0"/>
              <w:rPr>
                <w:sz w:val="20"/>
                <w:szCs w:val="20"/>
                <w:color w:val="auto"/>
              </w:rPr>
            </w:pPr>
            <w:r>
              <w:rPr>
                <w:rFonts w:ascii="Arial" w:cs="Arial" w:eastAsia="Arial" w:hAnsi="Arial"/>
                <w:sz w:val="18"/>
                <w:szCs w:val="18"/>
                <w:b w:val="1"/>
                <w:bCs w:val="1"/>
                <w:color w:val="auto"/>
                <w:w w:val="90"/>
              </w:rPr>
              <w:t>Abstain</w:t>
            </w:r>
          </w:p>
        </w:tc>
        <w:tc>
          <w:tcPr>
            <w:tcW w:w="30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Broker Non-Vote</w:t>
            </w:r>
          </w:p>
        </w:tc>
      </w:tr>
      <w:tr>
        <w:trPr>
          <w:trHeight w:val="365"/>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27,086,021</w:t>
            </w:r>
          </w:p>
        </w:tc>
        <w:tc>
          <w:tcPr>
            <w:tcW w:w="2280" w:type="dxa"/>
            <w:vAlign w:val="bottom"/>
          </w:tcPr>
          <w:p>
            <w:pPr>
              <w:jc w:val="right"/>
              <w:ind w:right="430"/>
              <w:spacing w:after="0"/>
              <w:rPr>
                <w:sz w:val="20"/>
                <w:szCs w:val="20"/>
                <w:color w:val="auto"/>
              </w:rPr>
            </w:pPr>
            <w:r>
              <w:rPr>
                <w:rFonts w:ascii="Arial" w:cs="Arial" w:eastAsia="Arial" w:hAnsi="Arial"/>
                <w:sz w:val="18"/>
                <w:szCs w:val="18"/>
                <w:color w:val="auto"/>
              </w:rPr>
              <w:t>2,498,310</w:t>
            </w:r>
          </w:p>
        </w:tc>
        <w:tc>
          <w:tcPr>
            <w:tcW w:w="3220" w:type="dxa"/>
            <w:vAlign w:val="bottom"/>
          </w:tcPr>
          <w:p>
            <w:pPr>
              <w:jc w:val="right"/>
              <w:ind w:right="910"/>
              <w:spacing w:after="0"/>
              <w:rPr>
                <w:sz w:val="20"/>
                <w:szCs w:val="20"/>
                <w:color w:val="auto"/>
              </w:rPr>
            </w:pPr>
            <w:r>
              <w:rPr>
                <w:rFonts w:ascii="Arial" w:cs="Arial" w:eastAsia="Arial" w:hAnsi="Arial"/>
                <w:sz w:val="18"/>
                <w:szCs w:val="18"/>
                <w:color w:val="auto"/>
              </w:rPr>
              <w:t>28,120</w:t>
            </w:r>
          </w:p>
        </w:tc>
        <w:tc>
          <w:tcPr>
            <w:tcW w:w="3040" w:type="dxa"/>
            <w:vAlign w:val="bottom"/>
          </w:tcPr>
          <w:p>
            <w:pPr>
              <w:jc w:val="right"/>
              <w:ind w:right="1050"/>
              <w:spacing w:after="0"/>
              <w:rPr>
                <w:sz w:val="20"/>
                <w:szCs w:val="20"/>
                <w:color w:val="auto"/>
              </w:rPr>
            </w:pPr>
            <w:r>
              <w:rPr>
                <w:rFonts w:ascii="Arial" w:cs="Arial" w:eastAsia="Arial" w:hAnsi="Arial"/>
                <w:sz w:val="18"/>
                <w:szCs w:val="18"/>
                <w:color w:val="auto"/>
              </w:rPr>
              <w:t>836,573</w:t>
            </w:r>
          </w:p>
        </w:tc>
      </w:tr>
      <w:tr>
        <w:trPr>
          <w:trHeight w:val="905"/>
        </w:trPr>
        <w:tc>
          <w:tcPr>
            <w:tcW w:w="2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20" w:type="dxa"/>
            <w:vAlign w:val="bottom"/>
          </w:tcPr>
          <w:p>
            <w:pPr>
              <w:jc w:val="right"/>
              <w:ind w:right="2530"/>
              <w:spacing w:after="0"/>
              <w:rPr>
                <w:sz w:val="20"/>
                <w:szCs w:val="20"/>
                <w:color w:val="auto"/>
              </w:rPr>
            </w:pPr>
            <w:r>
              <w:rPr>
                <w:rFonts w:ascii="Arial" w:cs="Arial" w:eastAsia="Arial" w:hAnsi="Arial"/>
                <w:sz w:val="18"/>
                <w:szCs w:val="18"/>
                <w:color w:val="auto"/>
              </w:rPr>
              <w:t>2</w:t>
            </w:r>
          </w:p>
        </w:tc>
        <w:tc>
          <w:tcPr>
            <w:tcW w:w="30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322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tcPr>
          <w:p>
            <w:pPr>
              <w:spacing w:after="0"/>
              <w:rPr>
                <w:sz w:val="19"/>
                <w:szCs w:val="19"/>
                <w:color w:val="auto"/>
              </w:rPr>
            </w:pPr>
          </w:p>
        </w:tc>
        <w:tc>
          <w:tcPr>
            <w:tcW w:w="6480" w:type="dxa"/>
            <w:vAlign w:val="bottom"/>
            <w:gridSpan w:val="2"/>
          </w:tcPr>
          <w:p>
            <w:pPr>
              <w:ind w:left="230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800" w:type="dxa"/>
            <w:vAlign w:val="bottom"/>
          </w:tcPr>
          <w:p>
            <w:pPr>
              <w:spacing w:after="0"/>
              <w:rPr>
                <w:sz w:val="20"/>
                <w:szCs w:val="20"/>
                <w:color w:val="auto"/>
              </w:rPr>
            </w:pPr>
          </w:p>
        </w:tc>
        <w:tc>
          <w:tcPr>
            <w:tcW w:w="6480" w:type="dxa"/>
            <w:vAlign w:val="bottom"/>
            <w:gridSpan w:val="2"/>
          </w:tcPr>
          <w:p>
            <w:pPr>
              <w:ind w:left="2300"/>
              <w:spacing w:after="0"/>
              <w:rPr>
                <w:sz w:val="20"/>
                <w:szCs w:val="20"/>
                <w:color w:val="auto"/>
              </w:rPr>
            </w:pPr>
            <w:r>
              <w:rPr>
                <w:rFonts w:ascii="Arial" w:cs="Arial" w:eastAsia="Arial" w:hAnsi="Arial"/>
                <w:sz w:val="18"/>
                <w:szCs w:val="18"/>
                <w:color w:val="auto"/>
              </w:rPr>
              <w:t>(Registrant)</w:t>
            </w:r>
          </w:p>
        </w:tc>
      </w:tr>
      <w:tr>
        <w:trPr>
          <w:trHeight w:val="655"/>
        </w:trPr>
        <w:tc>
          <w:tcPr>
            <w:tcW w:w="3800" w:type="dxa"/>
            <w:vAlign w:val="bottom"/>
          </w:tcPr>
          <w:p>
            <w:pPr>
              <w:spacing w:after="0"/>
              <w:rPr>
                <w:sz w:val="20"/>
                <w:szCs w:val="20"/>
                <w:color w:val="auto"/>
              </w:rPr>
            </w:pPr>
            <w:r>
              <w:rPr>
                <w:rFonts w:ascii="Arial" w:cs="Arial" w:eastAsia="Arial" w:hAnsi="Arial"/>
                <w:sz w:val="18"/>
                <w:szCs w:val="18"/>
                <w:color w:val="auto"/>
              </w:rPr>
              <w:t>Date: June 23, 2014</w:t>
            </w:r>
          </w:p>
        </w:tc>
        <w:tc>
          <w:tcPr>
            <w:tcW w:w="2960" w:type="dxa"/>
            <w:vAlign w:val="bottom"/>
          </w:tcPr>
          <w:p>
            <w:pPr>
              <w:ind w:left="230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Saltzman</w:t>
            </w:r>
          </w:p>
        </w:tc>
      </w:tr>
      <w:tr>
        <w:trPr>
          <w:trHeight w:val="202"/>
        </w:trPr>
        <w:tc>
          <w:tcPr>
            <w:tcW w:w="3800" w:type="dxa"/>
            <w:vAlign w:val="bottom"/>
          </w:tcPr>
          <w:p>
            <w:pPr>
              <w:spacing w:after="0"/>
              <w:rPr>
                <w:sz w:val="17"/>
                <w:szCs w:val="17"/>
                <w:color w:val="auto"/>
              </w:rPr>
            </w:pPr>
          </w:p>
        </w:tc>
        <w:tc>
          <w:tcPr>
            <w:tcW w:w="2960" w:type="dxa"/>
            <w:vAlign w:val="bottom"/>
          </w:tcPr>
          <w:p>
            <w:pPr>
              <w:ind w:left="230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Nancy Saltzman</w:t>
            </w:r>
          </w:p>
        </w:tc>
      </w:tr>
      <w:tr>
        <w:trPr>
          <w:trHeight w:val="216"/>
        </w:trPr>
        <w:tc>
          <w:tcPr>
            <w:tcW w:w="3800" w:type="dxa"/>
            <w:vAlign w:val="bottom"/>
          </w:tcPr>
          <w:p>
            <w:pPr>
              <w:spacing w:after="0"/>
              <w:rPr>
                <w:sz w:val="18"/>
                <w:szCs w:val="18"/>
                <w:color w:val="auto"/>
              </w:rPr>
            </w:pPr>
          </w:p>
        </w:tc>
        <w:tc>
          <w:tcPr>
            <w:tcW w:w="2960" w:type="dxa"/>
            <w:vAlign w:val="bottom"/>
          </w:tcPr>
          <w:p>
            <w:pPr>
              <w:ind w:left="230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8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40"/>
      </w:cols>
      <w:pgMar w:left="240" w:top="5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2019-12-07T07:59:54Z</dcterms:created>
  <dcterms:modified xsi:type="dcterms:W3CDTF">2019-12-07T07:59:54Z</dcterms:modified>
</cp:coreProperties>
</file>