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8374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3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Nicolelli Maurizio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3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EXLSERVICE HOLDINGS INC 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EXLS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 &amp; CFO</w:t>
      </w:r>
    </w:p>
    <w:p>
      <w:pPr>
        <w:spacing w:after="0" w:line="4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39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16,860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16,860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-2192655</wp:posOffset>
            </wp:positionV>
            <wp:extent cx="29210" cy="2197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7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Company's common stock upon settlement.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in four equal annual installments, beginning on February 20, 2026. Vesting will be accelerated upon certain termination of employment events and upon a "Change in Control" (as defined in the ExlService Holdings, Inc. 2025 Omnibus Incentive Plan).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Note: On June 17, 2025, the reporting person was also granted performance-based restricted stock units that are subject to material conditions beyond the reporting person's control, and, therefore, are not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considered derivative securities for purposes of Section 16 of the Securities Exchange Act of 1934, as amended, and are excluded from this report. Remarks: Mr. Ayyappan is the Company's General Counsel.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Ajay Ayyappan, Attorney-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2650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2025-06-17T17:31:41Z</dcterms:created>
  <dcterms:modified xsi:type="dcterms:W3CDTF">2025-06-17T17:31:41Z</dcterms:modified>
</cp:coreProperties>
</file>