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21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6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EVP and Head of Analytics</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5,460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337,540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3,020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334,520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7,445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341,965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4,118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337,847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02/17/2024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5,460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7,445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7,445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7,445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5,955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4.365 (pre-split)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percent of the restricted stock units became vested on February 19,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2024-02-21T19:58:44Z</dcterms:created>
  <dcterms:modified xsi:type="dcterms:W3CDTF">2024-02-21T19:58:44Z</dcterms:modified>
</cp:coreProperties>
</file>