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Sections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Date of Report (Date of earliest event reported): October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2.02 Results of Operations and Financial Condition.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29, 2015, ExlService Holdings, Inc. (the “Company”) reported its results of operations for the three months ended September 30, 2015.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October 29, 2015 (furnished pursuant to Item 2.02)</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68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(Registrant)</w:t>
            </w:r>
          </w:p>
        </w:tc>
      </w:tr>
      <w:tr>
        <w:trPr>
          <w:trHeight w:val="446"/>
        </w:trPr>
        <w:tc>
          <w:tcPr>
            <w:tcW w:w="3680" w:type="dxa"/>
            <w:vAlign w:val="bottom"/>
          </w:tcPr>
          <w:p>
            <w:pPr>
              <w:spacing w:after="0"/>
              <w:rPr>
                <w:sz w:val="20"/>
                <w:szCs w:val="20"/>
                <w:color w:val="auto"/>
              </w:rPr>
            </w:pPr>
            <w:r>
              <w:rPr>
                <w:rFonts w:ascii="Arial" w:cs="Arial" w:eastAsia="Arial" w:hAnsi="Arial"/>
                <w:sz w:val="18"/>
                <w:szCs w:val="18"/>
                <w:color w:val="auto"/>
              </w:rPr>
              <w:t>Date: October 29, 2015</w:t>
            </w: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Saltzman</w:t>
            </w:r>
          </w:p>
        </w:tc>
      </w:tr>
      <w:tr>
        <w:trPr>
          <w:trHeight w:val="209"/>
        </w:trPr>
        <w:tc>
          <w:tcPr>
            <w:tcW w:w="3680" w:type="dxa"/>
            <w:vAlign w:val="bottom"/>
          </w:tcPr>
          <w:p>
            <w:pPr>
              <w:spacing w:after="0"/>
              <w:rPr>
                <w:sz w:val="18"/>
                <w:szCs w:val="18"/>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Nancy Saltzman</w:t>
            </w:r>
          </w:p>
        </w:tc>
      </w:tr>
      <w:tr>
        <w:trPr>
          <w:trHeight w:val="216"/>
        </w:trPr>
        <w:tc>
          <w:tcPr>
            <w:tcW w:w="3680" w:type="dxa"/>
            <w:vAlign w:val="bottom"/>
          </w:tcPr>
          <w:p>
            <w:pPr>
              <w:spacing w:after="0"/>
              <w:rPr>
                <w:sz w:val="18"/>
                <w:szCs w:val="18"/>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78"/>
        </w:trPr>
        <w:tc>
          <w:tcPr>
            <w:tcW w:w="3680" w:type="dxa"/>
            <w:vAlign w:val="bottom"/>
          </w:tcPr>
          <w:p>
            <w:pPr>
              <w:spacing w:after="0"/>
              <w:rPr>
                <w:sz w:val="24"/>
                <w:szCs w:val="24"/>
                <w:color w:val="auto"/>
              </w:rPr>
            </w:pPr>
          </w:p>
        </w:tc>
        <w:tc>
          <w:tcPr>
            <w:tcW w:w="2720" w:type="dxa"/>
            <w:vAlign w:val="bottom"/>
          </w:tcPr>
          <w:p>
            <w:pPr>
              <w:ind w:left="198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October 29, 2015 (furnished pursuant to Item 2.02)</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2015 THIRD QUARTER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2015 Third Quarter Revenues of $163.5 Million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Diluted EPS (GAAP) of $0.44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Diluted EPS (Non-GAAP) of $0.58</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New York, NY – October 29, 2015 – ExlService Holdings, Inc. (NASDAQ: EXLS), a leading provider of Operations Management and Analytics &amp; Business Transformation services, today announced its financial results for the third quarter of 2015.</w:t>
      </w:r>
    </w:p>
    <w:p>
      <w:pPr>
        <w:spacing w:after="0" w:line="1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Rohit Kapoor, Vice Chairman and CEO, commented: “EXL achieved strong third quarter results due to broad-based growth across both our business segments delivering 24% revenue growth year-over-year. This revenue growth was delivered along with improved profitability based upon the plan we outlined at the start of the year.</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Operations Management business, including the impact of Overland Solutions, grew by 13% year-over-year. The adoption of our Business EXLerator Framework™, BPaaS and product solutions are resonating with clients. These capabilities enable EXL to work across the end-to-end business value chain to impact not only cost, but also top-line revenues and customer experience. This has resulted in new client wins and expansion of existing client relationships.”</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Analytics &amp; Business Transformation continues to exhibit high growth with revenues up 58% year-over-year, due to strong organic growth in our core analytics business and the impact of RPM. The demand for our analytics services continues to be strong, and we continue to make investments to retain our leadership position as one of the few large and differentiated players in the global analytics market.”</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Vishal Chhibbar, EXL’s CFO, commented: “In the third quarter, EXL had record revenues of $163.5 million, up 24% from third quarter 2014 revenues which excludes the reimbursement of disentanglement costs and up 5% sequentially. During the quarter we expanded our adjusted operating margins to 17.0% from 13.9% in the second quarter of 2015 and delivered an adjusted diluted EPS of $0.58, up 33%, year-over-year and up 22% sequentially.</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Based on our strong year-to-date performance and our growth outlook in the fourth quarter of 2015, EXL is raising its revenue guidance to $623 million - $626 million from $610 million - $625 million, representing an annual growth of 19% at the mid-point, despite a currency headwind. EXL is also raising its adjusted diluted earnings per share guidance to $1.95 - $2.01 from $1.88 - $1.98.”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business is divided into two reporting segments: Operations Management and Analytics &amp; Business Transformation.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131" w:lineRule="exact"/>
        <w:rPr>
          <w:sz w:val="20"/>
          <w:szCs w:val="20"/>
          <w:color w:val="auto"/>
        </w:rPr>
      </w:pPr>
    </w:p>
    <w:p>
      <w:pPr>
        <w:ind w:left="900" w:right="20" w:hanging="325"/>
        <w:spacing w:after="0" w:line="27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Revenues for the quarter ended September 30, 2015 were $163.5 million compared to $122.5 million for the quarter ended September 30, 2014 and $155.6 million for the quarter ended June 30, 2015. Revenues for the quarter ended September 30, 2014 were reduced by $9.6 million due to the reimbursement of disentanglement costs. Operations Management revenues for the quarter ended September 30, 2015 were $114.0 million compared to $91.2 million for the quarter ended September 30, 2014 and $112.6 million for the quarter ended June 30, 2015. Analytics &amp; Business Transformation revenues for the quarter ended September 30, 2015 were $49.5 million compared to $31.3 million for the quarter ended September 30, 2014 and $43.0 million for the quarter ended June 30, 2015.</w:t>
      </w:r>
    </w:p>
    <w:p>
      <w:pPr>
        <w:spacing w:after="0" w:line="83" w:lineRule="exact"/>
        <w:rPr>
          <w:rFonts w:ascii="Arial" w:cs="Arial" w:eastAsia="Arial" w:hAnsi="Arial"/>
          <w:sz w:val="17"/>
          <w:szCs w:val="17"/>
          <w:color w:val="auto"/>
        </w:rPr>
      </w:pPr>
    </w:p>
    <w:p>
      <w:pPr>
        <w:jc w:val="both"/>
        <w:ind w:left="900" w:hanging="325"/>
        <w:spacing w:after="0" w:line="25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for the quarter ended September 30, 2015 was 36.9% compared to 30.6% for the quarter ended September 30, 2014 and 35.4% for the quarter ended June 30, 2015. Operations Management gross margin for the quarter ended September 30, 2015 was 36.8% compared to 31.0% for the quarter ended September 30, 2014 and 36.5% for the quarter ended June 30, 2015. Analytics &amp; Business Transformation gross margin for the quarter ended September 30, 2015 was 37.1% compared to 29.4% for the quarter ended September 30, 2014 and 32.7% for the quarter ended June 30, 2015.</w:t>
      </w:r>
    </w:p>
    <w:p>
      <w:pPr>
        <w:spacing w:after="0" w:line="93"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margin for the quarter ended September 30, 2015 was 12.7% compared to 4.4% for the quarter ended September 30, 2014 and 9.8% for the quarter ended June 30, 2015.</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for the quarter ended September 30, 2015 was $15.2 million compared to $6.1 million for the quarter ended September 30, 2014 and $12.1 million for the quarter ended June 30, 2015.</w:t>
      </w:r>
    </w:p>
    <w:p>
      <w:pPr>
        <w:spacing w:after="0" w:line="75" w:lineRule="exact"/>
        <w:rPr>
          <w:rFonts w:ascii="Arial" w:cs="Arial" w:eastAsia="Arial" w:hAnsi="Arial"/>
          <w:sz w:val="18"/>
          <w:szCs w:val="18"/>
          <w:color w:val="auto"/>
        </w:rPr>
      </w:pPr>
    </w:p>
    <w:p>
      <w:pPr>
        <w:ind w:left="900" w:right="180" w:hanging="325"/>
        <w:spacing w:after="0" w:line="28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operating margin for the quarter ended September 30, 2015 was 17.0% compared to 14.3% for the quarter ended September 30, 2014 and 13.9% for the quarter ended June 30, 2015. Adjusted EBITDA for the quarter ended September 30, 2015 was $33.3 million compared to $24.4 million for the quarter ended September 30, 2014 and $26.9 million for the quarter ended June 30, 2015.</w:t>
      </w:r>
    </w:p>
    <w:p>
      <w:pPr>
        <w:spacing w:after="0" w:line="70" w:lineRule="exact"/>
        <w:rPr>
          <w:rFonts w:ascii="Arial" w:cs="Arial" w:eastAsia="Arial" w:hAnsi="Arial"/>
          <w:sz w:val="17"/>
          <w:szCs w:val="17"/>
          <w:color w:val="auto"/>
        </w:rPr>
      </w:pPr>
    </w:p>
    <w:p>
      <w:pPr>
        <w:jc w:val="both"/>
        <w:ind w:left="900" w:right="20" w:hanging="325"/>
        <w:spacing w:after="0" w:line="28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Diluted earnings per share for the quarter ended September 30, 2015 was $0.44 compared to $0.18 for the quarter ended September 30, 2014 and $0.35 for the quarter ended June 30, 2015. Adjusted diluted earnings per share for the quarter ended September 30, 2015 was $0.58 compared to $0.44 for the quarter ended September 30, 2014 and $0.48 for the quarter ended June 30,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35"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Won 4 new clients in Operations Management and 5 new clients in Analytics &amp; Business Transformation.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Expanded multiple Operations Management relationships, including migrating 39 new processes in the third quarter of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Positioned in the Winner’s Circle in the “HfS Blueprint Report: Insurance As-a-Service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Positioned in the Winner’s Circle in the “HfS Blueprint Report: Healthcare Payer Operations 2015”</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Positioned as a Leader in Everest Research’s “Property and Casualty Insurance BPO – Service Provider Landscape with PEAK Matrix™ Assessment 2015”</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Positioned as a Leader in Everest Research’s “Life and Pensions Insurance BPO – Service Provider Landscape with PEAK Matrix™ Assessment 2015”</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Redesigned the EXL website creating a better client experience while showcasing EXL’s investments in thought leadership across our business domains.</w:t>
      </w:r>
    </w:p>
    <w:p>
      <w:pPr>
        <w:spacing w:after="0" w:line="75"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Recorded headcount as of September 30, 2015 of 23,715 compared to 22,684 as of June 30, 2015 and 23,050 (including employees under managed services) as of September 30, 2014.</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employee attrition for the quarter ended September 30, 2015 of 34.5%, compared with 34.9% for the quarter ended June 30, 2015 and 38.0% for the quarter ended September 30, 2014.</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2015 Outlook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Based on current visibility and an Indian rupee to U.S. dollar exchange rate of 65, the Company is updating its guidance for the calendar year 2015:</w:t>
      </w:r>
    </w:p>
    <w:p>
      <w:pPr>
        <w:spacing w:after="0" w:line="14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of $623 million to $626 million.</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$1.95 to $2.01.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17" w:lineRule="exact"/>
        <w:rPr>
          <w:sz w:val="20"/>
          <w:szCs w:val="20"/>
          <w:color w:val="auto"/>
        </w:rPr>
      </w:pPr>
    </w:p>
    <w:p>
      <w:pPr>
        <w:jc w:val="both"/>
        <w:ind w:right="480"/>
        <w:spacing w:after="0" w:line="279" w:lineRule="auto"/>
        <w:rPr>
          <w:sz w:val="20"/>
          <w:szCs w:val="20"/>
          <w:color w:val="auto"/>
        </w:rPr>
      </w:pPr>
      <w:r>
        <w:rPr>
          <w:rFonts w:ascii="Arial" w:cs="Arial" w:eastAsia="Arial" w:hAnsi="Arial"/>
          <w:sz w:val="17"/>
          <w:szCs w:val="17"/>
          <w:color w:val="auto"/>
        </w:rPr>
        <w:t xml:space="preserve">ExlService Holdings, Inc. will host a conference call on Thursday, October 29, 2015 at 8:00 a.m. U.S. eastern time to discuss the Company’s quarterly operating and financial results. The conference call will be available live via the internet by accessing the investor relations section of EXL’s website at </w:t>
      </w:r>
      <w:r>
        <w:rPr>
          <w:rFonts w:ascii="Arial" w:cs="Arial" w:eastAsia="Arial" w:hAnsi="Arial"/>
          <w:sz w:val="17"/>
          <w:szCs w:val="17"/>
          <w:u w:val="single" w:color="auto"/>
          <w:color w:val="auto"/>
        </w:rPr>
        <w:t>ir.exlservice.com</w:t>
      </w:r>
      <w:r>
        <w:rPr>
          <w:rFonts w:ascii="Arial" w:cs="Arial" w:eastAsia="Arial" w:hAnsi="Arial"/>
          <w:sz w:val="17"/>
          <w:szCs w:val="17"/>
          <w:color w:val="auto"/>
        </w:rPr>
        <w:t>,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To listen to the conference call via phone, please dial 1-877-303-6384 or if dialing in internationally,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EXL (NASDAQ: EXLS) is a leading business process solutions company that looks deeper to drive business impact through integrated services and industry knowledge. EXL provides operations management, decision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approximately 23,500 professionals in locations throughout the U.S., Europe, Asia, Latin America and South Africa. For more information, visit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Continuing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2014.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163,503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103,198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84,983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296,801</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165,833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122,828</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18,817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57,428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12,682</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9,117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35,769</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8,057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23,171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20,049</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39,556</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116,368</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20,749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49,465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income/(expense) :</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 / (loss)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2,347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4,300</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22,727</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56,112</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19,309</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36,803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24,985</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33,307,312</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32,890,475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33,320,477</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32,743,384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34,180,635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33,676,665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34,147,120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33,594,304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90,656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93,184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2,547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98,272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4,738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312,284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302,391</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47,071</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7,996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55,462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171,753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22,083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23,975</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619,938</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Accrued employee cost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36,788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93,255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90,968</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Long term borrowings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18,971</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172,530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154,398</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$0.001 par value; 100,000,000 shares authorized, 34,749,446 shares issued and 33,083,540 shares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outstanding as of September 30, 2015 and 34,203,352 shares issued and 32,905,467 shares outstanding as of</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2014</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248,614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306,227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(66,250)</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488,626</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60" w:type="dxa"/>
            <w:vAlign w:val="bottom"/>
            <w:gridSpan w:val="2"/>
          </w:tcPr>
          <w:p>
            <w:pPr>
              <w:spacing w:after="0"/>
              <w:rPr>
                <w:sz w:val="20"/>
                <w:szCs w:val="20"/>
                <w:color w:val="auto"/>
              </w:rPr>
            </w:pPr>
            <w:r>
              <w:rPr>
                <w:rFonts w:ascii="Arial" w:cs="Arial" w:eastAsia="Arial" w:hAnsi="Arial"/>
                <w:sz w:val="18"/>
                <w:szCs w:val="18"/>
                <w:color w:val="auto"/>
                <w:w w:val="95"/>
              </w:rPr>
              <w:t>Less: 1,665,906 shares as of September 30, 2015 and 1,297,885 shares as of December 31, 2014, held in treasury, at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(41,218)</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447,408</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619,938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ind w:left="566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adjusted financial measures (adjusted operating margin, adjusted EBITDA, adjusted net income and adjusted diluted earnings per share) that the Securities and Exchange Commission defines as “non-GAAP financial measures.” The adjusted financial measures disclosed by the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the Company’s results and comparisons of the Company’s results with the results of other companies. EXL believes that it is unreasonably difficult to provide its financial outlook in accordance with GAAP for a number of reasons including, without limitation, EXL’s inability to predict its future stock-based compensation expense under ASC Topic 718 and the amortization of intangibles associated with further acquisitions, and the uncertainty around the reimbursement of transition and disentanglement costs for a disclosed client issue. EXL also incurs significant non-cash charges for depreciation that may not be indicative of the Company’s ability to generate cash flow.</w:t>
      </w:r>
    </w:p>
    <w:p>
      <w:pPr>
        <w:spacing w:after="0" w:line="18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Additionally, EXL provides certain information on a constant currency basis, which reflects a comparison of current period results translated at the prior period currency rates. This information is provided because EXL believes that it provides useful incremental information to investors regarding EXL’s operating performance.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months ended September 30, 2015 and 2014 and for the three months ended June 30, 2015:</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Sep 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163,503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122,457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155,621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add: Reimbursement of transition and disentanglement costs (a)</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9,626</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b w:val="1"/>
                <w:bCs w:val="1"/>
                <w:color w:val="auto"/>
                <w:w w:val="95"/>
              </w:rPr>
              <w:t>163,503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6"/>
              </w:rPr>
              <w:t>132,083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155,621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subtract: Cost of revenues (GAAP)</w:t>
            </w:r>
          </w:p>
        </w:tc>
        <w:tc>
          <w:tcPr>
            <w:tcW w:w="100" w:type="dxa"/>
            <w:vAlign w:val="bottom"/>
          </w:tcPr>
          <w:p>
            <w:pPr>
              <w:spacing w:after="0"/>
              <w:rPr>
                <w:sz w:val="18"/>
                <w:szCs w:val="18"/>
                <w:color w:val="auto"/>
              </w:rPr>
            </w:pPr>
          </w:p>
        </w:tc>
        <w:tc>
          <w:tcPr>
            <w:tcW w:w="1240" w:type="dxa"/>
            <w:vAlign w:val="bottom"/>
            <w:gridSpan w:val="2"/>
          </w:tcPr>
          <w:p>
            <w:pPr>
              <w:jc w:val="right"/>
              <w:ind w:right="468"/>
              <w:spacing w:after="0"/>
              <w:rPr>
                <w:sz w:val="20"/>
                <w:szCs w:val="20"/>
                <w:color w:val="auto"/>
              </w:rPr>
            </w:pPr>
            <w:r>
              <w:rPr>
                <w:rFonts w:ascii="Arial" w:cs="Arial" w:eastAsia="Arial" w:hAnsi="Arial"/>
                <w:sz w:val="18"/>
                <w:szCs w:val="18"/>
                <w:color w:val="auto"/>
                <w:w w:val="88"/>
              </w:rPr>
              <w:t>(103,198)</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(84,983)</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(100,478)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subtract: Operating expenses (GAAP)</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(39,556)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(32,083)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(39,895)</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Income from operations (Non- GAAP)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20,749</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15,017</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Stock-based compensation expense (b)</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4,471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add: Amortization of acquisition-related intangibles (c)</w:t>
            </w: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1,441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b w:val="1"/>
                <w:bCs w:val="1"/>
                <w:color w:val="auto"/>
              </w:rPr>
              <w:t>27,862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18,834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21,609</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i w:val="1"/>
                <w:iCs w:val="1"/>
                <w:color w:val="auto"/>
              </w:rPr>
              <w:t>Adjusted operating margin as a % of Revenues (Non-GAAP)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8"/>
              <w:spacing w:after="0"/>
              <w:rPr>
                <w:sz w:val="20"/>
                <w:szCs w:val="20"/>
                <w:color w:val="auto"/>
              </w:rPr>
            </w:pPr>
            <w:r>
              <w:rPr>
                <w:rFonts w:ascii="Arial" w:cs="Arial" w:eastAsia="Arial" w:hAnsi="Arial"/>
                <w:sz w:val="18"/>
                <w:szCs w:val="18"/>
                <w:i w:val="1"/>
                <w:iCs w:val="1"/>
                <w:color w:val="auto"/>
              </w:rPr>
              <w:t>17.0%</w:t>
            </w: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14.3%</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13.9%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Depreciation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5,415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5,573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Adjusted EBITDA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33,277</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24,407</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EBITDA margin as a % of Revenues (Non-GAAP)</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i w:val="1"/>
                <w:iCs w:val="1"/>
                <w:color w:val="auto"/>
              </w:rPr>
              <w:t>20.4%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18.5%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17.3%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reimbursement of transition and disentanglement costs for a disclosed client issue.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10" w:name="page11"/>
    <w:bookmarkEnd w:id="10"/>
    <w:p>
      <w:pPr>
        <w:jc w:val="center"/>
        <w:ind w:left="259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50" w:lineRule="exact"/>
        <w:rPr>
          <w:sz w:val="20"/>
          <w:szCs w:val="20"/>
          <w:color w:val="auto"/>
        </w:rPr>
      </w:pPr>
    </w:p>
    <w:p>
      <w:pPr>
        <w:jc w:val="center"/>
        <w:ind w:left="2592"/>
        <w:spacing w:after="0"/>
        <w:rPr>
          <w:sz w:val="20"/>
          <w:szCs w:val="20"/>
          <w:color w:val="auto"/>
        </w:rPr>
      </w:pPr>
      <w:r>
        <w:rPr>
          <w:rFonts w:ascii="Arial" w:cs="Arial" w:eastAsia="Arial" w:hAnsi="Arial"/>
          <w:sz w:val="18"/>
          <w:szCs w:val="18"/>
          <w:color w:val="auto"/>
        </w:rPr>
        <w:t>(Amounts in thousands, except per share data)</w:t>
      </w:r>
    </w:p>
    <w:p>
      <w:pPr>
        <w:spacing w:after="0" w:line="229" w:lineRule="exact"/>
        <w:rPr>
          <w:sz w:val="20"/>
          <w:szCs w:val="20"/>
          <w:color w:val="auto"/>
        </w:rPr>
      </w:pPr>
    </w:p>
    <w:p>
      <w:pPr>
        <w:jc w:val="center"/>
        <w:ind w:left="6372"/>
        <w:spacing w:after="0"/>
        <w:rPr>
          <w:sz w:val="20"/>
          <w:szCs w:val="20"/>
          <w:color w:val="auto"/>
        </w:rPr>
      </w:pPr>
      <w:r>
        <w:rPr>
          <w:rFonts w:ascii="Arial" w:cs="Arial" w:eastAsia="Arial" w:hAnsi="Arial"/>
          <w:sz w:val="14"/>
          <w:szCs w:val="14"/>
          <w:b w:val="1"/>
          <w:bCs w:val="1"/>
          <w:color w:val="auto"/>
        </w:rPr>
        <w:t>Three Months Ended</w:t>
      </w:r>
    </w:p>
    <w:p>
      <w:pPr>
        <w:jc w:val="center"/>
        <w:ind w:left="6372"/>
        <w:spacing w:after="0" w:line="236" w:lineRule="auto"/>
        <w:rPr>
          <w:sz w:val="20"/>
          <w:szCs w:val="20"/>
          <w:color w:val="auto"/>
        </w:rPr>
      </w:pPr>
      <w:r>
        <w:rPr>
          <w:rFonts w:ascii="Arial" w:cs="Arial" w:eastAsia="Arial" w:hAnsi="Arial"/>
          <w:sz w:val="14"/>
          <w:szCs w:val="14"/>
          <w:b w:val="1"/>
          <w:bCs w:val="1"/>
          <w:color w:val="auto"/>
        </w:rPr>
        <w:t>Sep 30,</w:t>
      </w:r>
    </w:p>
    <w:p>
      <w:pPr>
        <w:spacing w:after="0" w:line="1" w:lineRule="exact"/>
        <w:rPr>
          <w:sz w:val="20"/>
          <w:szCs w:val="20"/>
          <w:color w:val="auto"/>
        </w:rPr>
      </w:pPr>
    </w:p>
    <w:tbl>
      <w:tblPr>
        <w:tblLayout w:type="fixed"/>
        <w:tblInd w:w="912" w:type="dxa"/>
        <w:tblCellMar>
          <w:top w:w="0" w:type="dxa"/>
          <w:left w:w="0" w:type="dxa"/>
          <w:bottom w:w="0" w:type="dxa"/>
          <w:right w:w="0" w:type="dxa"/>
        </w:tblCellMar>
      </w:tblPr>
      <w:tr>
        <w:trPr>
          <w:trHeight w:val="142"/>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Net income (GAAP)</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87"/>
              </w:rPr>
              <w:t>15,162</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6,075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add: Stock-based compensation expense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4,471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add: Amortization of acquisition-related intangibles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2,642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add: reimbursement of transition and disentanglement costs (c)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9,626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subtract: Tax impact on 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(1,704)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subtract: Tax impact on amortization of acquisition-related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540"/>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subtract: Tax impact on reimbursement of transition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540"/>
              <w:spacing w:after="0"/>
              <w:rPr>
                <w:sz w:val="20"/>
                <w:szCs w:val="20"/>
                <w:color w:val="auto"/>
              </w:rPr>
            </w:pPr>
            <w:r>
              <w:rPr>
                <w:rFonts w:ascii="Arial" w:cs="Arial" w:eastAsia="Arial" w:hAnsi="Arial"/>
                <w:sz w:val="18"/>
                <w:szCs w:val="18"/>
                <w:color w:val="auto"/>
              </w:rPr>
              <w:t>disentanglement costs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(3,658)</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Adjusted net income (Non-GAAP)</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19,915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Adjusted diluted earnings per share (Non-GAAP)</w:t>
            </w: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-1289050</wp:posOffset>
            </wp:positionV>
            <wp:extent cx="608012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-1014095</wp:posOffset>
            </wp:positionV>
            <wp:extent cx="608012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-602615</wp:posOffset>
            </wp:positionV>
            <wp:extent cx="608012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0125" cy="27432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-139700</wp:posOffset>
            </wp:positionV>
            <wp:extent cx="608012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-1571625</wp:posOffset>
            </wp:positionV>
            <wp:extent cx="608012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204"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23"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reimbursement of transition and disentanglement costs for a disclosed client issue.</w:t>
      </w:r>
    </w:p>
    <w:p>
      <w:pPr>
        <w:spacing w:after="0" w:line="143"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line="243" w:lineRule="auto"/>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8318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b w:val="1"/>
          <w:bCs w:val="1"/>
          <w:color w:val="auto"/>
        </w:rPr>
        <w:t>2015</w:t>
      </w:r>
    </w:p>
    <w:p>
      <w:pPr>
        <w:spacing w:after="0" w:line="9" w:lineRule="exact"/>
        <w:rPr>
          <w:sz w:val="20"/>
          <w:szCs w:val="20"/>
          <w:color w:val="auto"/>
        </w:rPr>
      </w:pPr>
    </w:p>
    <w:p>
      <w:pPr>
        <w:ind w:left="820" w:hanging="816"/>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12,074</w:t>
      </w:r>
    </w:p>
    <w:p>
      <w:pPr>
        <w:spacing w:after="0" w:line="7"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3,553</w:t>
      </w:r>
    </w:p>
    <w:p>
      <w:pPr>
        <w:spacing w:after="0" w:line="9"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2,808</w:t>
      </w:r>
    </w:p>
    <w:p>
      <w:pPr>
        <w:spacing w:after="0" w:line="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(1,320)</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(716)</w:t>
      </w: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8318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2" w:lineRule="exact"/>
        <w:rPr>
          <w:sz w:val="20"/>
          <w:szCs w:val="20"/>
          <w:color w:val="auto"/>
        </w:rPr>
      </w:pPr>
    </w:p>
    <w:p>
      <w:pPr>
        <w:ind w:left="820" w:hanging="816"/>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16,399</w:t>
      </w:r>
    </w:p>
    <w:p>
      <w:pPr>
        <w:spacing w:after="0" w:line="63" w:lineRule="exact"/>
        <w:rPr>
          <w:rFonts w:ascii="Arial" w:cs="Arial" w:eastAsia="Arial" w:hAnsi="Arial"/>
          <w:sz w:val="18"/>
          <w:szCs w:val="18"/>
          <w:b w:val="1"/>
          <w:bCs w:val="1"/>
          <w:color w:val="auto"/>
        </w:rPr>
      </w:pPr>
    </w:p>
    <w:p>
      <w:pPr>
        <w:ind w:left="1000" w:hanging="996"/>
        <w:spacing w:after="0"/>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8318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8318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sectPr>
      <w:pgSz w:w="11900" w:h="16838" w:orient="portrait"/>
      <w:cols w:equalWidth="0" w:num="2">
        <w:col w:w="8812" w:space="260"/>
        <w:col w:w="1380"/>
      </w:cols>
      <w:pgMar w:left="248"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21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2019-12-08T12:10:12Z</dcterms:created>
  <dcterms:modified xsi:type="dcterms:W3CDTF">2019-12-08T12:10:12Z</dcterms:modified>
</cp:coreProperties>
</file>