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4603d1_8k.htm"/>
      <w:bookmarkStart w:id="1" w:name="kstm2624603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83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Sections 13 or 15(d) of the Securities Exchange Act of 1934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A_edei--EntityRegistrantName_c2026"/>
      <w:bookmarkEnd w:id="4"/>
      <w:r>
        <w:rPr>
          <w:rFonts w:ascii="Times New Roman;Times;Serif" w:hAnsi="Times New Roman;Times;Serif"/>
          <w:b/>
          <w:i w:val="false"/>
          <w:caps w:val="false"/>
          <w:smallCaps w:val="false"/>
          <w:sz w:val="48"/>
        </w:rPr>
        <w:t>EXLSERVICE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615" w:type="dxa"/>
        <w:jc w:val="left"/>
        <w:tblInd w:w="0" w:type="dxa"/>
        <w:tblLayout w:type="fixed"/>
        <w:tblCellMar>
          <w:top w:w="0" w:type="dxa"/>
          <w:left w:w="0" w:type="dxa"/>
          <w:bottom w:w="0" w:type="dxa"/>
          <w:right w:w="0" w:type="dxa"/>
        </w:tblCellMar>
      </w:tblPr>
      <w:tblGrid>
        <w:gridCol w:w="2705"/>
        <w:gridCol w:w="60"/>
        <w:gridCol w:w="2210"/>
        <w:gridCol w:w="60"/>
        <w:gridCol w:w="1580"/>
      </w:tblGrid>
      <w:tr>
        <w:trPr/>
        <w:tc>
          <w:tcPr>
            <w:tcW w:w="2705" w:type="dxa"/>
            <w:tcBorders/>
            <w:vAlign w:val="center"/>
          </w:tcPr>
          <w:p>
            <w:pPr>
              <w:pStyle w:val="TableContents"/>
              <w:bidi w:val="0"/>
              <w:spacing w:before="0" w:after="283"/>
              <w:jc w:val="center"/>
              <w:rPr>
                <w:b/>
              </w:rPr>
            </w:pPr>
            <w:bookmarkStart w:id="5" w:name="xdx_90F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rPr>
            </w:pPr>
            <w:bookmarkStart w:id="6" w:name="xdx_901_edei--EntityFileNumber_c20260831"/>
            <w:bookmarkEnd w:id="6"/>
            <w:r>
              <w:rPr>
                <w:b/>
              </w:rPr>
              <w:t>001-33089</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b/>
              </w:rPr>
            </w:pPr>
            <w:bookmarkStart w:id="7" w:name="xdx_906_edei--EntityTaxIdentificationNum"/>
            <w:bookmarkEnd w:id="7"/>
            <w:r>
              <w:rPr>
                <w:b/>
              </w:rPr>
              <w:t>82-0572194</w:t>
            </w:r>
          </w:p>
        </w:tc>
      </w:tr>
      <w:tr>
        <w:trPr/>
        <w:tc>
          <w:tcPr>
            <w:tcW w:w="270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 </w:t>
            </w:r>
          </w:p>
        </w:tc>
      </w:tr>
    </w:tbl>
    <w:p>
      <w:pPr>
        <w:pStyle w:val="TextBody"/>
        <w:bidi w:val="0"/>
        <w:spacing w:before="0" w:after="0"/>
        <w:ind w:left="0" w:right="0" w:hanging="0"/>
        <w:jc w:val="center"/>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60"/>
        <w:gridCol w:w="3740"/>
        <w:gridCol w:w="60"/>
        <w:gridCol w:w="875"/>
      </w:tblGrid>
      <w:tr>
        <w:trPr/>
        <w:tc>
          <w:tcPr>
            <w:tcW w:w="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320 Park Avenue, </w:t>
            </w:r>
            <w:bookmarkStart w:id="9" w:name="xdx_901_edei--EntityAddressAddressLine2_"/>
            <w:bookmarkEnd w:id="9"/>
            <w:r>
              <w:rPr>
                <w:rFonts w:ascii="Times New Roman;Times;Serif" w:hAnsi="Times New Roman;Times;Serif"/>
                <w:b/>
                <w:i w:val="false"/>
                <w:caps w:val="false"/>
                <w:smallCaps w:val="false"/>
                <w:sz w:val="20"/>
              </w:rPr>
              <w:t>29th Floor,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New York, </w:t>
            </w:r>
            <w:bookmarkStart w:id="11" w:name="xdx_906_edei--EntityAddressStateOrProvin"/>
            <w:bookmarkEnd w:id="11"/>
            <w:r>
              <w:rPr>
                <w:rFonts w:ascii="Times New Roman;Times;Serif" w:hAnsi="Times New Roman;Times;Serif"/>
                <w:b/>
                <w:i w:val="false"/>
                <w:caps w:val="false"/>
                <w:smallCaps w:val="false"/>
                <w:sz w:val="20"/>
              </w:rPr>
              <w:t>New York</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2_edei--EntityAddressPostalZipCode"/>
            <w:bookmarkEnd w:id="12"/>
            <w:r>
              <w:rPr>
                <w:rFonts w:ascii="Times New Roman;Times;Serif" w:hAnsi="Times New Roman;Times;Serif"/>
                <w:b/>
                <w:i w:val="false"/>
                <w:caps w:val="false"/>
                <w:smallCaps w:val="false"/>
                <w:sz w:val="20"/>
              </w:rPr>
              <w:t>10022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4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B_edei--CityAreaCode_c20260831__20"/>
      <w:bookmarkEnd w:id="13"/>
      <w:r>
        <w:rPr>
          <w:rFonts w:ascii="Times New Roman;Times;Serif" w:hAnsi="Times New Roman;Times;Serif"/>
          <w:b/>
          <w:i w:val="false"/>
          <w:caps w:val="false"/>
          <w:smallCaps w:val="false"/>
          <w:sz w:val="20"/>
        </w:rPr>
        <w:t xml:space="preserve">212) </w:t>
      </w:r>
      <w:bookmarkStart w:id="14" w:name="xdx_90C_edei--LocalPhoneNumber_c20260831"/>
      <w:bookmarkEnd w:id="14"/>
      <w:r>
        <w:rPr>
          <w:rFonts w:ascii="Times New Roman;Times;Serif" w:hAnsi="Times New Roman;Times;Serif"/>
          <w:b/>
          <w:i w:val="false"/>
          <w:caps w:val="false"/>
          <w:smallCaps w:val="false"/>
          <w:sz w:val="20"/>
        </w:rPr>
        <w:t>277-7100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8_edei--WrittenCommunications_c202"/>
            <w:bookmarkEnd w:id="15"/>
            <w:r>
              <w:rPr/>
              <w:t>☐</w:t>
            </w:r>
          </w:p>
        </w:tc>
        <w:tc>
          <w:tcPr>
            <w:tcW w:w="9960" w:type="dxa"/>
            <w:tcBorders/>
            <w:vAlign w:val="center"/>
          </w:tcPr>
          <w:p>
            <w:pPr>
              <w:pStyle w:val="TableContents"/>
              <w:bidi w:val="0"/>
              <w:spacing w:before="0" w:after="283"/>
              <w:jc w:val="left"/>
              <w:rPr/>
            </w:pPr>
            <w:r>
              <w:rPr/>
              <w:t>Written communication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F_edei--SolicitingMaterial_c202608"/>
            <w:bookmarkEnd w:id="16"/>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B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0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9" w:name="xdx_901_edei--EntityEmergingGrowthCompan"/>
            <w:bookmarkEnd w:id="19"/>
            <w:r>
              <w:rPr/>
              <w:t>☐</w:t>
            </w:r>
          </w:p>
        </w:tc>
        <w:tc>
          <w:tcPr>
            <w:tcW w:w="9960" w:type="dxa"/>
            <w:tcBorders/>
            <w:vAlign w:val="center"/>
          </w:tcPr>
          <w:p>
            <w:pPr>
              <w:pStyle w:val="TableContents"/>
              <w:bidi w:val="0"/>
              <w:spacing w:before="0" w:after="283"/>
              <w:jc w:val="left"/>
              <w:rPr>
                <w:sz w:val="20"/>
              </w:rPr>
            </w:pPr>
            <w:r>
              <w:rPr>
                <w:sz w:val="20"/>
              </w:rPr>
              <w:t>Emerging growth company</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10" w:type="dxa"/>
        <w:tblLayout w:type="fixed"/>
        <w:tblCellMar>
          <w:top w:w="40" w:type="dxa"/>
          <w:left w:w="28" w:type="dxa"/>
          <w:bottom w:w="0" w:type="dxa"/>
          <w:right w:w="28" w:type="dxa"/>
        </w:tblCellMar>
      </w:tblPr>
      <w:tblGrid>
        <w:gridCol w:w="3515"/>
        <w:gridCol w:w="1610"/>
        <w:gridCol w:w="3710"/>
      </w:tblGrid>
      <w:tr>
        <w:trPr/>
        <w:tc>
          <w:tcPr>
            <w:tcW w:w="8835" w:type="dxa"/>
            <w:gridSpan w:val="3"/>
            <w:tcBorders>
              <w:top w:val="single" w:sz="8" w:space="0" w:color="000000"/>
              <w:left w:val="single" w:sz="8" w:space="0" w:color="000000"/>
              <w:right w:val="single" w:sz="8" w:space="0" w:color="000000"/>
            </w:tcBorders>
            <w:vAlign w:val="center"/>
          </w:tcPr>
          <w:p>
            <w:pPr>
              <w:pStyle w:val="TableContents"/>
              <w:bidi w:val="0"/>
              <w:spacing w:before="0" w:after="283"/>
              <w:jc w:val="center"/>
              <w:rPr>
                <w:b/>
                <w:sz w:val="20"/>
              </w:rPr>
            </w:pPr>
            <w:r>
              <w:rPr>
                <w:b/>
                <w:sz w:val="20"/>
              </w:rPr>
              <w:t>Securities registered pursuant to Section 12(b) of the Act:</w:t>
            </w:r>
          </w:p>
        </w:tc>
      </w:tr>
      <w:tr>
        <w:trPr/>
        <w:tc>
          <w:tcPr>
            <w:tcW w:w="3515" w:type="dxa"/>
            <w:tcBorders>
              <w:top w:val="single" w:sz="8" w:space="0" w:color="000000"/>
              <w:left w:val="single" w:sz="8" w:space="0" w:color="000000"/>
            </w:tcBorders>
            <w:tcMar>
              <w:righ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1610" w:type="dxa"/>
            <w:tcBorders>
              <w:top w:val="single" w:sz="8" w:space="0" w:color="000000"/>
              <w:left w:val="single" w:sz="8" w:space="0" w:color="000000"/>
            </w:tcBorders>
            <w:tcMar>
              <w:righ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3710" w:type="dxa"/>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op w:val="single" w:sz="8" w:space="0" w:color="000000"/>
              <w:left w:val="single" w:sz="8" w:space="0" w:color="000000"/>
              <w:bottom w:val="single" w:sz="8" w:space="0" w:color="000000"/>
            </w:tcBorders>
            <w:tcMar>
              <w:bottom w:w="40" w:type="dxa"/>
              <w:righ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5_edei--Security12bTitle_c20260831"/>
            <w:bookmarkEnd w:id="20"/>
            <w:r>
              <w:rPr>
                <w:rFonts w:ascii="Times New Roman;Times;Serif" w:hAnsi="Times New Roman;Times;Serif"/>
                <w:b w:val="false"/>
                <w:i w:val="false"/>
                <w:caps w:val="false"/>
                <w:smallCaps w:val="false"/>
                <w:sz w:val="20"/>
              </w:rPr>
              <w:t>Common Stock, $0.001 par value per share</w:t>
            </w:r>
          </w:p>
        </w:tc>
        <w:tc>
          <w:tcPr>
            <w:tcW w:w="1610" w:type="dxa"/>
            <w:tcBorders>
              <w:top w:val="single" w:sz="8" w:space="0" w:color="000000"/>
              <w:left w:val="single" w:sz="8" w:space="0" w:color="000000"/>
              <w:bottom w:val="single" w:sz="8" w:space="0" w:color="000000"/>
            </w:tcBorders>
            <w:tcMar>
              <w:bottom w:w="40" w:type="dxa"/>
              <w:right w:w="0" w:type="dxa"/>
            </w:tcMar>
            <w:vAlign w:val="center"/>
          </w:tcPr>
          <w:p>
            <w:pPr>
              <w:pStyle w:val="TableContents"/>
              <w:bidi w:val="0"/>
              <w:spacing w:before="0" w:after="283"/>
              <w:jc w:val="center"/>
              <w:rPr>
                <w:sz w:val="20"/>
              </w:rPr>
            </w:pPr>
            <w:bookmarkStart w:id="21" w:name="xdx_908_edei--TradingSymbol_c20260831__2"/>
            <w:bookmarkEnd w:id="21"/>
            <w:r>
              <w:rPr>
                <w:sz w:val="20"/>
              </w:rPr>
              <w:t>EXLS</w:t>
            </w:r>
          </w:p>
        </w:tc>
        <w:tc>
          <w:tcPr>
            <w:tcW w:w="3710" w:type="dxa"/>
            <w:tcBorders>
              <w:top w:val="single" w:sz="8" w:space="0" w:color="000000"/>
              <w:left w:val="single" w:sz="8" w:space="0" w:color="000000"/>
              <w:bottom w:val="single" w:sz="8" w:space="0" w:color="000000"/>
              <w:right w:val="single" w:sz="8" w:space="0" w:color="000000"/>
            </w:tcBorders>
            <w:tcMar>
              <w:bottom w:w="4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2" w:name="xdx_90A_edei--SecurityExchangeName_c2026"/>
            <w:bookmarkEnd w:id="22"/>
            <w:r>
              <w:rPr>
                <w:rFonts w:ascii="Times New Roman;Times;Serif" w:hAnsi="Times New Roman;Times;Serif"/>
                <w:b w:val="false"/>
                <w:i w:val="false"/>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Vivek Jetley, President and Head of Insurance, Healthcare and Life Sciences of ExlService Holdings, Inc. (the “Company”), notified the Company of his intention to resign from his positions with the Company, effective as of October 26, 2026. Mr. Jetley is resigning to pursue an opportunity outside the Company. Mr. Jetley’s resignation did not result from any disagreement with the Company, its Board of Directors, or management regarding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effective date of his departure, Mr. Jetley will continue to serve in his current role and assist the Company with an orderly transition of duties. Thereafter, Mr. Jetley’s duties and responsibilities will be assumed by other members of the Company’s 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announcing Mr. Jetley’s resignation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herewith: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41"/>
        <w:gridCol w:w="60"/>
        <w:gridCol w:w="9204"/>
      </w:tblGrid>
      <w:tr>
        <w:trPr/>
        <w:tc>
          <w:tcPr>
            <w:tcW w:w="941" w:type="dxa"/>
            <w:tcBorders>
              <w:bottom w:val="single" w:sz="8" w:space="0" w:color="000000"/>
            </w:tcBorders>
            <w:vAlign w:val="center"/>
          </w:tcPr>
          <w:p>
            <w:pPr>
              <w:pStyle w:val="TableContents"/>
              <w:bidi w:val="0"/>
              <w:spacing w:before="0" w:after="283"/>
              <w:jc w:val="center"/>
              <w:rPr/>
            </w:pPr>
            <w:r>
              <w:rPr>
                <w:b/>
              </w:rPr>
              <w:t>Number</w:t>
            </w:r>
            <w:r>
              <w:rPr/>
              <w:t xml:space="preserve"> </w:t>
            </w:r>
          </w:p>
        </w:tc>
        <w:tc>
          <w:tcPr>
            <w:tcW w:w="60" w:type="dxa"/>
            <w:tcBorders/>
            <w:tcMar>
              <w:bottom w:w="0" w:type="dxa"/>
            </w:tcMar>
            <w:vAlign w:val="center"/>
          </w:tcPr>
          <w:p>
            <w:pPr>
              <w:pStyle w:val="TableContents"/>
              <w:bidi w:val="0"/>
              <w:spacing w:before="0" w:after="283"/>
              <w:jc w:val="center"/>
              <w:rPr/>
            </w:pPr>
            <w:r>
              <w:rPr/>
              <w:t> </w:t>
            </w:r>
          </w:p>
        </w:tc>
        <w:tc>
          <w:tcPr>
            <w:tcW w:w="9204"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941" w:type="dxa"/>
            <w:tcBorders/>
            <w:tcMar>
              <w:bottom w:w="0" w:type="dxa"/>
            </w:tcMar>
            <w:vAlign w:val="center"/>
          </w:tcPr>
          <w:p>
            <w:pPr>
              <w:pStyle w:val="TableContents"/>
              <w:bidi w:val="0"/>
              <w:spacing w:before="0" w:after="283"/>
              <w:jc w:val="center"/>
              <w:rPr/>
            </w:pPr>
            <w:hyperlink w:anchor="tm2624603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204" w:type="dxa"/>
            <w:tcBorders/>
            <w:tcMar>
              <w:bottom w:w="0" w:type="dxa"/>
            </w:tcMar>
            <w:vAlign w:val="center"/>
          </w:tcPr>
          <w:p>
            <w:pPr>
              <w:pStyle w:val="TableContents"/>
              <w:bidi w:val="0"/>
              <w:spacing w:before="0" w:after="283"/>
              <w:jc w:val="left"/>
              <w:rPr/>
            </w:pPr>
            <w:hyperlink w:anchor="tm2624603d1_ex99-1.htm">
              <w:r>
                <w:rPr>
                  <w:rStyle w:val="InternetLink"/>
                  <w:sz w:val="20"/>
                </w:rPr>
                <w:t>Press Release, dated September 2, 2026.</w:t>
              </w:r>
            </w:hyperlink>
          </w:p>
        </w:tc>
      </w:tr>
      <w:tr>
        <w:trPr/>
        <w:tc>
          <w:tcPr>
            <w:tcW w:w="941" w:type="dxa"/>
            <w:tcBorders/>
            <w:tcMar>
              <w:bottom w:w="0" w:type="dxa"/>
            </w:tcMar>
            <w:vAlign w:val="center"/>
          </w:tcPr>
          <w:p>
            <w:pPr>
              <w:pStyle w:val="TableContents"/>
              <w:bidi w:val="0"/>
              <w:spacing w:before="0" w:after="283"/>
              <w:jc w:val="center"/>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204" w:type="dxa"/>
            <w:tcBorders/>
            <w:tcMar>
              <w:bottom w:w="0" w:type="dxa"/>
            </w:tcMar>
            <w:vAlign w:val="center"/>
          </w:tcPr>
          <w:p>
            <w:pPr>
              <w:pStyle w:val="TableContents"/>
              <w:bidi w:val="0"/>
              <w:spacing w:before="0" w:after="283"/>
              <w:jc w:val="left"/>
              <w:rPr/>
            </w:pPr>
            <w:r>
              <w:rPr/>
              <w:t>Cover Page Interactive Data File (the cover page XBRL tags are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9060" w:type="dxa"/>
        <w:jc w:val="left"/>
        <w:tblInd w:w="0" w:type="dxa"/>
        <w:tblLayout w:type="fixed"/>
        <w:tblCellMar>
          <w:top w:w="0" w:type="dxa"/>
          <w:left w:w="0" w:type="dxa"/>
          <w:bottom w:w="0" w:type="dxa"/>
          <w:right w:w="0" w:type="dxa"/>
        </w:tblCellMar>
      </w:tblPr>
      <w:tblGrid>
        <w:gridCol w:w="2030"/>
        <w:gridCol w:w="545"/>
        <w:gridCol w:w="6485"/>
      </w:tblGrid>
      <w:tr>
        <w:trPr/>
        <w:tc>
          <w:tcPr>
            <w:tcW w:w="2030" w:type="dxa"/>
            <w:tcBorders/>
            <w:vAlign w:val="center"/>
          </w:tcPr>
          <w:p>
            <w:pPr>
              <w:pStyle w:val="TableContents"/>
              <w:bidi w:val="0"/>
              <w:spacing w:before="0" w:after="283"/>
              <w:jc w:val="left"/>
              <w:rPr/>
            </w:pPr>
            <w:r>
              <w:rPr/>
              <w:t> </w:t>
            </w:r>
          </w:p>
        </w:tc>
        <w:tc>
          <w:tcPr>
            <w:tcW w:w="7030" w:type="dxa"/>
            <w:gridSpan w:val="2"/>
            <w:tcBorders/>
            <w:vAlign w:val="center"/>
          </w:tcPr>
          <w:p>
            <w:pPr>
              <w:pStyle w:val="TableContents"/>
              <w:bidi w:val="0"/>
              <w:spacing w:before="0" w:after="283"/>
              <w:jc w:val="left"/>
              <w:rPr>
                <w:b/>
              </w:rPr>
            </w:pPr>
            <w:r>
              <w:rPr>
                <w:b/>
              </w:rPr>
              <w:t>EXLSERVICE HOLDINGS, INC.</w:t>
            </w:r>
          </w:p>
        </w:tc>
      </w:tr>
      <w:tr>
        <w:trPr/>
        <w:tc>
          <w:tcPr>
            <w:tcW w:w="2030" w:type="dxa"/>
            <w:tcBorders/>
            <w:vAlign w:val="center"/>
          </w:tcPr>
          <w:p>
            <w:pPr>
              <w:pStyle w:val="TableContents"/>
              <w:bidi w:val="0"/>
              <w:spacing w:before="0" w:after="283"/>
              <w:jc w:val="left"/>
              <w:rPr/>
            </w:pPr>
            <w:r>
              <w:rPr/>
              <w:t> </w:t>
            </w:r>
          </w:p>
        </w:tc>
        <w:tc>
          <w:tcPr>
            <w:tcW w:w="7030" w:type="dxa"/>
            <w:gridSpan w:val="2"/>
            <w:tcBorders/>
            <w:vAlign w:val="center"/>
          </w:tcPr>
          <w:p>
            <w:pPr>
              <w:pStyle w:val="TableContents"/>
              <w:bidi w:val="0"/>
              <w:spacing w:before="0" w:after="283"/>
              <w:jc w:val="left"/>
              <w:rPr/>
            </w:pPr>
            <w:r>
              <w:rPr/>
              <w:t>(Registrant)</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485" w:type="dxa"/>
            <w:tcBorders>
              <w:bottom w:val="single" w:sz="8" w:space="0" w:color="000000"/>
            </w:tcBorders>
            <w:tcMar>
              <w:bottom w:w="28" w:type="dxa"/>
            </w:tcMar>
            <w:vAlign w:val="center"/>
          </w:tcPr>
          <w:p>
            <w:pPr>
              <w:pStyle w:val="TableContents"/>
              <w:bidi w:val="0"/>
              <w:spacing w:before="0" w:after="283"/>
              <w:jc w:val="left"/>
              <w:rPr/>
            </w:pPr>
            <w:r>
              <w:rPr/>
              <w:t>/s/ AJAY AYYAPPAN</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485" w:type="dxa"/>
            <w:tcBorders/>
            <w:vAlign w:val="center"/>
          </w:tcPr>
          <w:p>
            <w:pPr>
              <w:pStyle w:val="TableContents"/>
              <w:bidi w:val="0"/>
              <w:spacing w:before="0" w:after="283"/>
              <w:jc w:val="left"/>
              <w:rPr/>
            </w:pPr>
            <w:r>
              <w:rPr/>
              <w:t>Ajay Ayyappan</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485" w:type="dxa"/>
            <w:tcBorders/>
            <w:vAlign w:val="center"/>
          </w:tcPr>
          <w:p>
            <w:pPr>
              <w:pStyle w:val="TableContents"/>
              <w:bidi w:val="0"/>
              <w:spacing w:before="0" w:after="283"/>
              <w:jc w:val="left"/>
              <w:rPr/>
            </w:pPr>
            <w:r>
              <w:rPr/>
              <w:t>Executive Vice President, 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3" w:name="tm2624603d1_ex99-1.htm"/>
      <w:bookmarkStart w:id="24" w:name="kstm2624603d1_ex991"/>
      <w:bookmarkEnd w:id="23"/>
      <w:bookmarkEnd w:id="24"/>
      <w:r>
        <w:rPr/>
        <w:t> </w:t>
      </w:r>
      <w:r>
        <w:br w:type="page"/>
      </w:r>
    </w:p>
    <w:p>
      <w:pPr>
        <w:pStyle w:val="TextBody"/>
        <w:bidi w:val="0"/>
        <w:spacing w:before="0" w:after="0"/>
        <w:ind w:left="0" w:right="0" w:hanging="0"/>
        <w:jc w:val="right"/>
        <w:rPr/>
      </w:pPr>
      <w:r>
        <w:rPr/>
        <w:t>Exhibit 99.1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EXL announces Departure of Vivek Jetley, President and Head of Insurance, Healthcare and Life Sciences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Sept. 2, 2026</w:t>
      </w:r>
      <w:r>
        <w:rPr>
          <w:rFonts w:ascii="Times New Roman;Times;Serif" w:hAnsi="Times New Roman;Times;Serif"/>
          <w:b w:val="false"/>
          <w:i w:val="false"/>
          <w:caps w:val="false"/>
          <w:smallCaps w:val="false"/>
          <w:sz w:val="20"/>
        </w:rPr>
        <w:t xml:space="preserve"> — ExlService Holdings, Inc. (NASDAQ: EXLS), a global data and AI company, announced today that, effective October 26, 2026, Vivek Jetley, president and head of Insurance, Healthcare and Life Sciences is departing EXL to assume the role of Chief Executive Officer of Hexaware Technologies Limited. He will continue to serve in his current role and assist with the transition of his responsibilities over the coming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"Vivek has been a great leader and trusted partner to me and our leadership team," said Rohit Kapoor, chairman and chief executive officer of EXL. "Over nearly 20 years, he has been an instrumental part of EXL's evolution — from building our analytics capability to leading our insurance and healthcare businesses. We are grateful for his many contributions and wish him success in this next chapter. EXL is fortunate to have a fantastic leadership team and a deep bench of talent, and we will not miss a beat in executing on our data and AI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been a privilege to be part of the EXL family and to work alongside such talented colleagues," said Mr. Jetley. "I am incredibly proud of all that we have accomplished together, and I look forward to supporting the Company in the coming months to ensure a smooth transition. I will always be rooting for EXL’s continued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EXL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EXL (NASDAQ: EXLS) is a global data and AI company that offers services and solutions to reinvent client business models, drive better outcomes and unlock growth with speed. EXL harnesses the power of data, AI, and deep industry knowledge to transform businesses, including the world's leading corporations in industries including insurance, healthcare, banking and capital markets, retail, communications and media, and energy and infrastructure, among others. EXL was founded in 1999 with the core values of innovation, collaboration, excellence, integrity and respect. We are headquartered in New York and have approximately 68,000 employees spanning six continents. For more information, visit www.exlservice.com.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recruitment and retention of leadership, our ability to maintain and grow client demand, our ability to hire and retain sufficiently trained employees, and our ability to accurately estimate and/or manage costs, rising interest rates, rising inflation and recessionary economic trends,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w:t>
      </w:r>
      <w:r>
        <w:rPr>
          <w:rFonts w:ascii="Times New Roman;Times;Serif" w:hAnsi="Times New Roman;Times;Serif"/>
          <w:b w:val="false"/>
          <w:i w:val="false"/>
          <w:caps w:val="false"/>
          <w:smallCaps w:val="false"/>
          <w:sz w:val="20"/>
        </w:rPr>
        <w:br/>
        <w:t>Andrew Thut</w:t>
        <w:br/>
        <w:t>Head of Investor Relations and Capital Markets</w:t>
        <w:br/>
      </w:r>
      <w:r>
        <w:rPr>
          <w:rFonts w:ascii="Times New Roman;Times;Serif" w:hAnsi="Times New Roman;Times;Serif"/>
          <w:b w:val="false"/>
          <w:i w:val="false"/>
          <w:caps w:val="false"/>
          <w:smallCaps w:val="false"/>
          <w:sz w:val="20"/>
          <w:u w:val="single"/>
        </w:rPr>
        <w:t>ir@exlservice.com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Keith Little  </w:t>
        <w:br/>
        <w:t>Head of Public Relations  </w:t>
        <w:br/>
      </w:r>
      <w:r>
        <w:rPr>
          <w:rFonts w:ascii="Times New Roman;Times;Serif" w:hAnsi="Times New Roman;Times;Serif"/>
          <w:b w:val="false"/>
          <w:i w:val="false"/>
          <w:caps w:val="false"/>
          <w:smallCaps w:val="false"/>
          <w:sz w:val="20"/>
          <w:u w:val="single"/>
        </w:rPr>
        <w:t>media.relations@exlservice.com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1268</Words>
  <Characters>7149</Characters>
  <CharactersWithSpaces>8439</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