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302081104</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June 30, 2012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 – 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 – 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 – 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 xml:space="preserve">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tbl>
      <w:tblPr>
        <w:tblLayout w:type="fixed"/>
        <w:tblInd w:w="220" w:type="dxa"/>
        <w:tblCellMar>
          <w:top w:w="0" w:type="dxa"/>
          <w:left w:w="0" w:type="dxa"/>
          <w:bottom w:w="0" w:type="dxa"/>
          <w:right w:w="0" w:type="dxa"/>
        </w:tblCellMar>
      </w:tblPr>
      <w:tr>
        <w:trPr>
          <w:trHeight w:val="222"/>
        </w:trPr>
        <w:tc>
          <w:tcPr>
            <w:tcW w:w="300" w:type="dxa"/>
            <w:vAlign w:val="bottom"/>
          </w:tcPr>
          <w:p>
            <w:pPr>
              <w:jc w:val="right"/>
              <w:ind w:right="143"/>
              <w:spacing w:after="0"/>
              <w:rPr>
                <w:sz w:val="20"/>
                <w:szCs w:val="20"/>
                <w:color w:val="auto"/>
              </w:rPr>
            </w:pPr>
            <w:r>
              <w:rPr>
                <w:rFonts w:ascii="Arial" w:cs="Arial" w:eastAsia="Arial" w:hAnsi="Arial"/>
                <w:sz w:val="15"/>
                <w:szCs w:val="15"/>
                <w:b w:val="1"/>
                <w:bCs w:val="1"/>
                <w:color w:val="auto"/>
                <w:w w:val="71"/>
              </w:rPr>
              <w:t>1</w:t>
            </w:r>
          </w:p>
        </w:tc>
        <w:tc>
          <w:tcPr>
            <w:tcW w:w="562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r>
      <w:tr>
        <w:trPr>
          <w:trHeight w:val="222"/>
        </w:trPr>
        <w:tc>
          <w:tcPr>
            <w:tcW w:w="300" w:type="dxa"/>
            <w:vAlign w:val="bottom"/>
          </w:tcPr>
          <w:p>
            <w:pPr>
              <w:spacing w:after="0"/>
              <w:rPr>
                <w:sz w:val="19"/>
                <w:szCs w:val="19"/>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w w:val="93"/>
              </w:rPr>
              <w:t>I.R.S. IDENTIFICATION NO. OF ABOVE PERSONS (ENTITIES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7254875" cy="51968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19684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Columbia Wanger Asset Management, LLC</w:t>
            </w:r>
          </w:p>
        </w:tc>
        <w:tc>
          <w:tcPr>
            <w:tcW w:w="6360" w:type="dxa"/>
            <w:vAlign w:val="bottom"/>
            <w:tcBorders>
              <w:bottom w:val="single" w:sz="8" w:color="auto"/>
            </w:tcBorders>
          </w:tcPr>
          <w:p>
            <w:pPr>
              <w:jc w:val="right"/>
              <w:ind w:right="4672"/>
              <w:spacing w:after="0"/>
              <w:rPr>
                <w:sz w:val="20"/>
                <w:szCs w:val="20"/>
                <w:color w:val="auto"/>
              </w:rPr>
            </w:pPr>
            <w:r>
              <w:rPr>
                <w:rFonts w:ascii="Arial" w:cs="Arial" w:eastAsia="Arial" w:hAnsi="Arial"/>
                <w:sz w:val="22"/>
                <w:szCs w:val="22"/>
                <w:color w:val="auto"/>
              </w:rPr>
              <w:t>04-3519872</w:t>
            </w:r>
          </w:p>
        </w:tc>
        <w:tc>
          <w:tcPr>
            <w:tcW w:w="0" w:type="dxa"/>
            <w:vAlign w:val="bottom"/>
          </w:tcPr>
          <w:p>
            <w:pPr>
              <w:spacing w:after="0"/>
              <w:rPr>
                <w:sz w:val="1"/>
                <w:szCs w:val="1"/>
                <w:color w:val="auto"/>
              </w:rPr>
            </w:pPr>
          </w:p>
        </w:tc>
      </w:tr>
      <w:tr>
        <w:trPr>
          <w:trHeight w:val="170"/>
        </w:trPr>
        <w:tc>
          <w:tcPr>
            <w:tcW w:w="380" w:type="dxa"/>
            <w:vAlign w:val="bottom"/>
          </w:tcPr>
          <w:p>
            <w:pPr>
              <w:jc w:val="center"/>
              <w:ind w:left="52"/>
              <w:spacing w:after="0" w:line="170" w:lineRule="exact"/>
              <w:rPr>
                <w:sz w:val="20"/>
                <w:szCs w:val="20"/>
                <w:color w:val="auto"/>
              </w:rPr>
            </w:pPr>
            <w:r>
              <w:rPr>
                <w:rFonts w:ascii="Arial" w:cs="Arial" w:eastAsia="Arial" w:hAnsi="Arial"/>
                <w:sz w:val="18"/>
                <w:szCs w:val="18"/>
                <w:b w:val="1"/>
                <w:bCs w:val="1"/>
                <w:color w:val="auto"/>
                <w:w w:val="79"/>
              </w:rPr>
              <w:t>2</w:t>
            </w:r>
          </w:p>
        </w:tc>
        <w:tc>
          <w:tcPr>
            <w:tcW w:w="260" w:type="dxa"/>
            <w:vAlign w:val="bottom"/>
          </w:tcPr>
          <w:p>
            <w:pPr>
              <w:spacing w:after="0"/>
              <w:rPr>
                <w:sz w:val="14"/>
                <w:szCs w:val="14"/>
                <w:color w:val="auto"/>
              </w:rPr>
            </w:pPr>
          </w:p>
        </w:tc>
        <w:tc>
          <w:tcPr>
            <w:tcW w:w="1080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6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1"/>
                <w:szCs w:val="11"/>
                <w:color w:val="auto"/>
              </w:rPr>
              <w:t>1</w:t>
            </w:r>
          </w:p>
        </w:tc>
        <w:tc>
          <w:tcPr>
            <w:tcW w:w="6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440" w:type="dxa"/>
            <w:vAlign w:val="bottom"/>
            <w:tcBorders>
              <w:bottom w:val="single" w:sz="8" w:color="auto"/>
            </w:tcBorders>
            <w:gridSpan w:val="4"/>
          </w:tcPr>
          <w:p>
            <w:pPr>
              <w:spacing w:after="0"/>
              <w:rPr>
                <w:sz w:val="12"/>
                <w:szCs w:val="12"/>
                <w:color w:val="auto"/>
              </w:rPr>
            </w:pPr>
          </w:p>
        </w:tc>
        <w:tc>
          <w:tcPr>
            <w:tcW w:w="6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380" w:type="dxa"/>
            <w:vAlign w:val="bottom"/>
          </w:tcPr>
          <w:p>
            <w:pPr>
              <w:jc w:val="center"/>
              <w:ind w:left="52"/>
              <w:spacing w:after="0"/>
              <w:rPr>
                <w:sz w:val="20"/>
                <w:szCs w:val="20"/>
                <w:color w:val="auto"/>
              </w:rPr>
            </w:pPr>
            <w:r>
              <w:rPr>
                <w:rFonts w:ascii="Arial" w:cs="Arial" w:eastAsia="Arial" w:hAnsi="Arial"/>
                <w:sz w:val="18"/>
                <w:szCs w:val="18"/>
                <w:b w:val="1"/>
                <w:bCs w:val="1"/>
                <w:color w:val="auto"/>
                <w:w w:val="79"/>
              </w:rPr>
              <w:t>3</w:t>
            </w:r>
          </w:p>
        </w:tc>
        <w:tc>
          <w:tcPr>
            <w:tcW w:w="260" w:type="dxa"/>
            <w:vAlign w:val="bottom"/>
          </w:tcPr>
          <w:p>
            <w:pPr>
              <w:spacing w:after="0"/>
              <w:rPr>
                <w:sz w:val="19"/>
                <w:szCs w:val="19"/>
                <w:color w:val="auto"/>
              </w:rPr>
            </w:pPr>
          </w:p>
        </w:tc>
        <w:tc>
          <w:tcPr>
            <w:tcW w:w="444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6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gridSpan w:val="4"/>
          </w:tcPr>
          <w:p>
            <w:pPr>
              <w:spacing w:after="0"/>
              <w:rPr>
                <w:sz w:val="17"/>
                <w:szCs w:val="17"/>
                <w:color w:val="auto"/>
              </w:rPr>
            </w:pPr>
          </w:p>
        </w:tc>
        <w:tc>
          <w:tcPr>
            <w:tcW w:w="6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0" w:type="dxa"/>
            <w:vAlign w:val="bottom"/>
          </w:tcPr>
          <w:p>
            <w:pPr>
              <w:jc w:val="center"/>
              <w:ind w:left="52"/>
              <w:spacing w:after="0"/>
              <w:rPr>
                <w:sz w:val="20"/>
                <w:szCs w:val="20"/>
                <w:color w:val="auto"/>
              </w:rPr>
            </w:pPr>
            <w:r>
              <w:rPr>
                <w:rFonts w:ascii="Arial" w:cs="Arial" w:eastAsia="Arial" w:hAnsi="Arial"/>
                <w:sz w:val="18"/>
                <w:szCs w:val="18"/>
                <w:b w:val="1"/>
                <w:bCs w:val="1"/>
                <w:color w:val="auto"/>
                <w:w w:val="79"/>
              </w:rPr>
              <w:t>4</w:t>
            </w:r>
          </w:p>
        </w:tc>
        <w:tc>
          <w:tcPr>
            <w:tcW w:w="260" w:type="dxa"/>
            <w:vAlign w:val="bottom"/>
          </w:tcPr>
          <w:p>
            <w:pPr>
              <w:spacing w:after="0"/>
              <w:rPr>
                <w:sz w:val="19"/>
                <w:szCs w:val="19"/>
                <w:color w:val="auto"/>
              </w:rPr>
            </w:pPr>
          </w:p>
        </w:tc>
        <w:tc>
          <w:tcPr>
            <w:tcW w:w="444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6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Delaware</w:t>
            </w:r>
          </w:p>
        </w:tc>
        <w:tc>
          <w:tcPr>
            <w:tcW w:w="6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34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6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2,674,160</w:t>
            </w:r>
          </w:p>
        </w:tc>
        <w:tc>
          <w:tcPr>
            <w:tcW w:w="6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98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91"/>
              </w:rPr>
              <w:t>SHARES</w:t>
            </w:r>
          </w:p>
        </w:tc>
        <w:tc>
          <w:tcPr>
            <w:tcW w:w="60" w:type="dxa"/>
            <w:vAlign w:val="bottom"/>
          </w:tcPr>
          <w:p>
            <w:pPr>
              <w:spacing w:after="0"/>
              <w:rPr>
                <w:sz w:val="19"/>
                <w:szCs w:val="19"/>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34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6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4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3440" w:type="dxa"/>
            <w:vAlign w:val="bottom"/>
            <w:tcBorders>
              <w:bottom w:val="single" w:sz="8" w:color="auto"/>
            </w:tcBorders>
            <w:vMerge w:val="continue"/>
          </w:tcPr>
          <w:p>
            <w:pPr>
              <w:spacing w:after="0"/>
              <w:rPr>
                <w:sz w:val="19"/>
                <w:szCs w:val="19"/>
                <w:color w:val="auto"/>
              </w:rPr>
            </w:pPr>
          </w:p>
        </w:tc>
        <w:tc>
          <w:tcPr>
            <w:tcW w:w="6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980" w:type="dxa"/>
            <w:vAlign w:val="bottom"/>
            <w:tcBorders>
              <w:right w:val="single" w:sz="8" w:color="auto"/>
            </w:tcBorders>
            <w:gridSpan w:val="2"/>
          </w:tcPr>
          <w:p>
            <w:pPr>
              <w:jc w:val="center"/>
              <w:ind w:right="164"/>
              <w:spacing w:after="0" w:line="190" w:lineRule="exact"/>
              <w:rPr>
                <w:sz w:val="20"/>
                <w:szCs w:val="20"/>
                <w:color w:val="auto"/>
              </w:rPr>
            </w:pPr>
            <w:r>
              <w:rPr>
                <w:rFonts w:ascii="Arial" w:cs="Arial" w:eastAsia="Arial" w:hAnsi="Arial"/>
                <w:sz w:val="18"/>
                <w:szCs w:val="18"/>
                <w:color w:val="auto"/>
                <w:w w:val="95"/>
              </w:rPr>
              <w:t>EACH</w:t>
            </w:r>
          </w:p>
        </w:tc>
        <w:tc>
          <w:tcPr>
            <w:tcW w:w="60" w:type="dxa"/>
            <w:vAlign w:val="bottom"/>
          </w:tcPr>
          <w:p>
            <w:pPr>
              <w:spacing w:after="0"/>
              <w:rPr>
                <w:sz w:val="16"/>
                <w:szCs w:val="16"/>
                <w:color w:val="auto"/>
              </w:rPr>
            </w:pPr>
          </w:p>
        </w:tc>
        <w:tc>
          <w:tcPr>
            <w:tcW w:w="22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b w:val="1"/>
                <w:bCs w:val="1"/>
                <w:color w:val="auto"/>
              </w:rPr>
              <w:t>7</w:t>
            </w:r>
          </w:p>
        </w:tc>
        <w:tc>
          <w:tcPr>
            <w:tcW w:w="34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6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40" w:type="dxa"/>
            <w:vAlign w:val="bottom"/>
            <w:vMerge w:val="restart"/>
          </w:tcPr>
          <w:p>
            <w:pPr>
              <w:ind w:left="300"/>
              <w:spacing w:after="0"/>
              <w:rPr>
                <w:sz w:val="20"/>
                <w:szCs w:val="20"/>
                <w:color w:val="auto"/>
              </w:rPr>
            </w:pPr>
            <w:r>
              <w:rPr>
                <w:rFonts w:ascii="Arial" w:cs="Arial" w:eastAsia="Arial" w:hAnsi="Arial"/>
                <w:sz w:val="22"/>
                <w:szCs w:val="22"/>
                <w:color w:val="auto"/>
              </w:rPr>
              <w:t>3,268,160</w:t>
            </w: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9"/>
              </w:rPr>
              <w:t>PERSON</w:t>
            </w:r>
          </w:p>
        </w:tc>
        <w:tc>
          <w:tcPr>
            <w:tcW w:w="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980" w:type="dxa"/>
            <w:vAlign w:val="bottom"/>
            <w:tcBorders>
              <w:right w:val="single" w:sz="8" w:color="auto"/>
            </w:tcBorders>
            <w:gridSpan w:val="2"/>
            <w:vMerge w:val="restart"/>
          </w:tcPr>
          <w:p>
            <w:pPr>
              <w:jc w:val="center"/>
              <w:ind w:right="184"/>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9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34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6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6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center"/>
              <w:ind w:left="52"/>
              <w:spacing w:after="0"/>
              <w:rPr>
                <w:sz w:val="20"/>
                <w:szCs w:val="20"/>
                <w:color w:val="auto"/>
              </w:rPr>
            </w:pPr>
            <w:r>
              <w:rPr>
                <w:rFonts w:ascii="Arial" w:cs="Arial" w:eastAsia="Arial" w:hAnsi="Arial"/>
                <w:sz w:val="18"/>
                <w:szCs w:val="18"/>
                <w:b w:val="1"/>
                <w:bCs w:val="1"/>
                <w:color w:val="auto"/>
                <w:w w:val="79"/>
              </w:rPr>
              <w:t>9</w:t>
            </w:r>
          </w:p>
        </w:tc>
        <w:tc>
          <w:tcPr>
            <w:tcW w:w="260" w:type="dxa"/>
            <w:vAlign w:val="bottom"/>
            <w:tcBorders>
              <w:right w:val="single" w:sz="8" w:color="auto"/>
            </w:tcBorders>
          </w:tcPr>
          <w:p>
            <w:pPr>
              <w:spacing w:after="0"/>
              <w:rPr>
                <w:sz w:val="19"/>
                <w:szCs w:val="19"/>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w w:val="75"/>
              </w:rPr>
              <w:t>AGGREGATE</w:t>
            </w:r>
          </w:p>
        </w:tc>
        <w:tc>
          <w:tcPr>
            <w:tcW w:w="9800" w:type="dxa"/>
            <w:vAlign w:val="bottom"/>
            <w:gridSpan w:val="2"/>
          </w:tcPr>
          <w:p>
            <w:pPr>
              <w:ind w:left="2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45"/>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444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3,268,160</w:t>
            </w:r>
          </w:p>
        </w:tc>
        <w:tc>
          <w:tcPr>
            <w:tcW w:w="6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center"/>
              <w:ind w:left="52"/>
              <w:spacing w:after="0"/>
              <w:rPr>
                <w:sz w:val="20"/>
                <w:szCs w:val="20"/>
                <w:color w:val="auto"/>
              </w:rPr>
            </w:pPr>
            <w:r>
              <w:rPr>
                <w:rFonts w:ascii="Arial" w:cs="Arial" w:eastAsia="Arial" w:hAnsi="Arial"/>
                <w:sz w:val="18"/>
                <w:szCs w:val="18"/>
                <w:b w:val="1"/>
                <w:bCs w:val="1"/>
                <w:color w:val="auto"/>
                <w:w w:val="79"/>
              </w:rPr>
              <w:t>10</w:t>
            </w:r>
          </w:p>
        </w:tc>
        <w:tc>
          <w:tcPr>
            <w:tcW w:w="260" w:type="dxa"/>
            <w:vAlign w:val="bottom"/>
            <w:tcBorders>
              <w:right w:val="single" w:sz="8" w:color="auto"/>
            </w:tcBorders>
          </w:tcPr>
          <w:p>
            <w:pPr>
              <w:spacing w:after="0"/>
              <w:rPr>
                <w:sz w:val="19"/>
                <w:szCs w:val="19"/>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0"/>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80" w:type="dxa"/>
            <w:vAlign w:val="bottom"/>
          </w:tcPr>
          <w:p>
            <w:pPr>
              <w:jc w:val="center"/>
              <w:ind w:left="52"/>
              <w:spacing w:after="0"/>
              <w:rPr>
                <w:sz w:val="20"/>
                <w:szCs w:val="20"/>
                <w:color w:val="auto"/>
              </w:rPr>
            </w:pPr>
            <w:r>
              <w:rPr>
                <w:rFonts w:ascii="Arial" w:cs="Arial" w:eastAsia="Arial" w:hAnsi="Arial"/>
                <w:sz w:val="18"/>
                <w:szCs w:val="18"/>
                <w:b w:val="1"/>
                <w:bCs w:val="1"/>
                <w:color w:val="auto"/>
                <w:w w:val="79"/>
              </w:rPr>
              <w:t>11</w:t>
            </w:r>
          </w:p>
        </w:tc>
        <w:tc>
          <w:tcPr>
            <w:tcW w:w="260" w:type="dxa"/>
            <w:vAlign w:val="bottom"/>
            <w:tcBorders>
              <w:right w:val="single" w:sz="8" w:color="auto"/>
            </w:tcBorders>
          </w:tcPr>
          <w:p>
            <w:pPr>
              <w:spacing w:after="0"/>
              <w:rPr>
                <w:sz w:val="19"/>
                <w:szCs w:val="19"/>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45"/>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rPr>
              <w:t>10.2%</w:t>
            </w:r>
          </w:p>
        </w:tc>
        <w:tc>
          <w:tcPr>
            <w:tcW w:w="344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center"/>
              <w:ind w:left="52"/>
              <w:spacing w:after="0"/>
              <w:rPr>
                <w:sz w:val="20"/>
                <w:szCs w:val="20"/>
                <w:color w:val="auto"/>
              </w:rPr>
            </w:pPr>
            <w:r>
              <w:rPr>
                <w:rFonts w:ascii="Arial" w:cs="Arial" w:eastAsia="Arial" w:hAnsi="Arial"/>
                <w:sz w:val="18"/>
                <w:szCs w:val="18"/>
                <w:b w:val="1"/>
                <w:bCs w:val="1"/>
                <w:color w:val="auto"/>
                <w:w w:val="79"/>
              </w:rPr>
              <w:t>12</w:t>
            </w:r>
          </w:p>
        </w:tc>
        <w:tc>
          <w:tcPr>
            <w:tcW w:w="260" w:type="dxa"/>
            <w:vAlign w:val="bottom"/>
            <w:tcBorders>
              <w:right w:val="single" w:sz="8" w:color="auto"/>
            </w:tcBorders>
          </w:tcPr>
          <w:p>
            <w:pPr>
              <w:spacing w:after="0"/>
              <w:rPr>
                <w:sz w:val="19"/>
                <w:szCs w:val="19"/>
                <w:color w:val="auto"/>
              </w:rPr>
            </w:pPr>
          </w:p>
        </w:tc>
        <w:tc>
          <w:tcPr>
            <w:tcW w:w="444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6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IA</w:t>
            </w:r>
          </w:p>
        </w:tc>
        <w:tc>
          <w:tcPr>
            <w:tcW w:w="2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21"/>
          <w:szCs w:val="21"/>
          <w:color w:val="auto"/>
          <w:vertAlign w:val="superscript"/>
        </w:rPr>
      </w:pPr>
      <w:r>
        <w:rPr>
          <w:rFonts w:ascii="Arial" w:cs="Arial" w:eastAsia="Arial" w:hAnsi="Arial"/>
          <w:sz w:val="17"/>
          <w:szCs w:val="17"/>
          <w:color w:val="auto"/>
        </w:rPr>
        <w:t>This filing describes the reporting person’s relationship with other persons, but the reporting person does not affirm the existence of a group.</w:t>
      </w:r>
    </w:p>
    <w:p>
      <w:pPr>
        <w:sectPr>
          <w:pgSz w:w="11900" w:h="16838" w:orient="portrait"/>
          <w:cols w:equalWidth="0" w:num="1">
            <w:col w:w="11440"/>
          </w:cols>
          <w:pgMar w:left="240" w:top="287" w:right="219" w:bottom="1440" w:gutter="0" w:footer="0" w:header="0"/>
        </w:sectPr>
      </w:pPr>
    </w:p>
    <w:bookmarkStart w:id="2" w:name="page3"/>
    <w:bookmarkEnd w:id="2"/>
    <w:tbl>
      <w:tblPr>
        <w:tblLayout w:type="fixed"/>
        <w:tblInd w:w="220" w:type="dxa"/>
        <w:tblCellMar>
          <w:top w:w="0" w:type="dxa"/>
          <w:left w:w="0" w:type="dxa"/>
          <w:bottom w:w="0" w:type="dxa"/>
          <w:right w:w="0" w:type="dxa"/>
        </w:tblCellMar>
      </w:tblPr>
      <w:tr>
        <w:trPr>
          <w:trHeight w:val="222"/>
        </w:trPr>
        <w:tc>
          <w:tcPr>
            <w:tcW w:w="300" w:type="dxa"/>
            <w:vAlign w:val="bottom"/>
          </w:tcPr>
          <w:p>
            <w:pPr>
              <w:jc w:val="right"/>
              <w:ind w:right="143"/>
              <w:spacing w:after="0"/>
              <w:rPr>
                <w:sz w:val="20"/>
                <w:szCs w:val="20"/>
                <w:color w:val="auto"/>
              </w:rPr>
            </w:pPr>
            <w:r>
              <w:rPr>
                <w:rFonts w:ascii="Arial" w:cs="Arial" w:eastAsia="Arial" w:hAnsi="Arial"/>
                <w:sz w:val="15"/>
                <w:szCs w:val="15"/>
                <w:b w:val="1"/>
                <w:bCs w:val="1"/>
                <w:color w:val="auto"/>
                <w:w w:val="71"/>
              </w:rPr>
              <w:t>1</w:t>
            </w:r>
          </w:p>
        </w:tc>
        <w:tc>
          <w:tcPr>
            <w:tcW w:w="562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r>
      <w:tr>
        <w:trPr>
          <w:trHeight w:val="222"/>
        </w:trPr>
        <w:tc>
          <w:tcPr>
            <w:tcW w:w="300" w:type="dxa"/>
            <w:vAlign w:val="bottom"/>
          </w:tcPr>
          <w:p>
            <w:pPr>
              <w:spacing w:after="0"/>
              <w:rPr>
                <w:sz w:val="19"/>
                <w:szCs w:val="19"/>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w w:val="93"/>
              </w:rPr>
              <w:t>I.R.S. IDENTIFICATION NO. OF ABOVE PERSONS (ENTITIES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7254875" cy="5196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519684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Columbia Acorn Fund</w:t>
            </w:r>
          </w:p>
        </w:tc>
        <w:tc>
          <w:tcPr>
            <w:tcW w:w="7080" w:type="dxa"/>
            <w:vAlign w:val="bottom"/>
            <w:tcBorders>
              <w:bottom w:val="single" w:sz="8" w:color="auto"/>
            </w:tcBorders>
          </w:tcPr>
          <w:p>
            <w:pPr>
              <w:jc w:val="right"/>
              <w:ind w:right="5872"/>
              <w:spacing w:after="0"/>
              <w:rPr>
                <w:sz w:val="20"/>
                <w:szCs w:val="20"/>
                <w:color w:val="auto"/>
              </w:rPr>
            </w:pPr>
            <w:r>
              <w:rPr>
                <w:rFonts w:ascii="Arial" w:cs="Arial" w:eastAsia="Arial" w:hAnsi="Arial"/>
                <w:sz w:val="22"/>
                <w:szCs w:val="22"/>
                <w:color w:val="auto"/>
                <w:w w:val="91"/>
              </w:rPr>
              <w:t>36-2692100</w:t>
            </w:r>
          </w:p>
        </w:tc>
        <w:tc>
          <w:tcPr>
            <w:tcW w:w="0" w:type="dxa"/>
            <w:vAlign w:val="bottom"/>
          </w:tcPr>
          <w:p>
            <w:pPr>
              <w:spacing w:after="0"/>
              <w:rPr>
                <w:sz w:val="1"/>
                <w:szCs w:val="1"/>
                <w:color w:val="auto"/>
              </w:rPr>
            </w:pPr>
          </w:p>
        </w:tc>
      </w:tr>
      <w:tr>
        <w:trPr>
          <w:trHeight w:val="170"/>
        </w:trPr>
        <w:tc>
          <w:tcPr>
            <w:tcW w:w="380" w:type="dxa"/>
            <w:vAlign w:val="bottom"/>
          </w:tcPr>
          <w:p>
            <w:pPr>
              <w:jc w:val="center"/>
              <w:ind w:left="52"/>
              <w:spacing w:after="0" w:line="170" w:lineRule="exact"/>
              <w:rPr>
                <w:sz w:val="20"/>
                <w:szCs w:val="20"/>
                <w:color w:val="auto"/>
              </w:rPr>
            </w:pPr>
            <w:r>
              <w:rPr>
                <w:rFonts w:ascii="Arial" w:cs="Arial" w:eastAsia="Arial" w:hAnsi="Arial"/>
                <w:sz w:val="18"/>
                <w:szCs w:val="18"/>
                <w:b w:val="1"/>
                <w:bCs w:val="1"/>
                <w:color w:val="auto"/>
                <w:w w:val="79"/>
              </w:rPr>
              <w:t>2</w:t>
            </w:r>
          </w:p>
        </w:tc>
        <w:tc>
          <w:tcPr>
            <w:tcW w:w="260" w:type="dxa"/>
            <w:vAlign w:val="bottom"/>
          </w:tcPr>
          <w:p>
            <w:pPr>
              <w:spacing w:after="0"/>
              <w:rPr>
                <w:sz w:val="14"/>
                <w:szCs w:val="14"/>
                <w:color w:val="auto"/>
              </w:rPr>
            </w:pPr>
          </w:p>
        </w:tc>
        <w:tc>
          <w:tcPr>
            <w:tcW w:w="1080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9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1"/>
                <w:szCs w:val="11"/>
                <w:color w:val="auto"/>
              </w:rPr>
              <w:t>2</w:t>
            </w:r>
          </w:p>
        </w:tc>
        <w:tc>
          <w:tcPr>
            <w:tcW w:w="7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720" w:type="dxa"/>
            <w:vAlign w:val="bottom"/>
            <w:tcBorders>
              <w:bottom w:val="single" w:sz="8" w:color="auto"/>
            </w:tcBorders>
            <w:gridSpan w:val="4"/>
          </w:tcPr>
          <w:p>
            <w:pPr>
              <w:spacing w:after="0"/>
              <w:rPr>
                <w:sz w:val="12"/>
                <w:szCs w:val="12"/>
                <w:color w:val="auto"/>
              </w:rPr>
            </w:pPr>
          </w:p>
        </w:tc>
        <w:tc>
          <w:tcPr>
            <w:tcW w:w="7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380" w:type="dxa"/>
            <w:vAlign w:val="bottom"/>
          </w:tcPr>
          <w:p>
            <w:pPr>
              <w:jc w:val="center"/>
              <w:ind w:left="52"/>
              <w:spacing w:after="0"/>
              <w:rPr>
                <w:sz w:val="20"/>
                <w:szCs w:val="20"/>
                <w:color w:val="auto"/>
              </w:rPr>
            </w:pPr>
            <w:r>
              <w:rPr>
                <w:rFonts w:ascii="Arial" w:cs="Arial" w:eastAsia="Arial" w:hAnsi="Arial"/>
                <w:sz w:val="18"/>
                <w:szCs w:val="18"/>
                <w:b w:val="1"/>
                <w:bCs w:val="1"/>
                <w:color w:val="auto"/>
                <w:w w:val="79"/>
              </w:rPr>
              <w:t>3</w:t>
            </w:r>
          </w:p>
        </w:tc>
        <w:tc>
          <w:tcPr>
            <w:tcW w:w="260" w:type="dxa"/>
            <w:vAlign w:val="bottom"/>
          </w:tcPr>
          <w:p>
            <w:pPr>
              <w:spacing w:after="0"/>
              <w:rPr>
                <w:sz w:val="19"/>
                <w:szCs w:val="19"/>
                <w:color w:val="auto"/>
              </w:rPr>
            </w:pPr>
          </w:p>
        </w:tc>
        <w:tc>
          <w:tcPr>
            <w:tcW w:w="372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7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spacing w:after="0"/>
              <w:rPr>
                <w:sz w:val="17"/>
                <w:szCs w:val="17"/>
                <w:color w:val="auto"/>
              </w:rPr>
            </w:pPr>
          </w:p>
        </w:tc>
        <w:tc>
          <w:tcPr>
            <w:tcW w:w="7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0" w:type="dxa"/>
            <w:vAlign w:val="bottom"/>
          </w:tcPr>
          <w:p>
            <w:pPr>
              <w:jc w:val="center"/>
              <w:ind w:left="52"/>
              <w:spacing w:after="0"/>
              <w:rPr>
                <w:sz w:val="20"/>
                <w:szCs w:val="20"/>
                <w:color w:val="auto"/>
              </w:rPr>
            </w:pPr>
            <w:r>
              <w:rPr>
                <w:rFonts w:ascii="Arial" w:cs="Arial" w:eastAsia="Arial" w:hAnsi="Arial"/>
                <w:sz w:val="18"/>
                <w:szCs w:val="18"/>
                <w:b w:val="1"/>
                <w:bCs w:val="1"/>
                <w:color w:val="auto"/>
                <w:w w:val="79"/>
              </w:rPr>
              <w:t>4</w:t>
            </w:r>
          </w:p>
        </w:tc>
        <w:tc>
          <w:tcPr>
            <w:tcW w:w="260" w:type="dxa"/>
            <w:vAlign w:val="bottom"/>
          </w:tcPr>
          <w:p>
            <w:pPr>
              <w:spacing w:after="0"/>
              <w:rPr>
                <w:sz w:val="19"/>
                <w:szCs w:val="19"/>
                <w:color w:val="auto"/>
              </w:rPr>
            </w:pPr>
          </w:p>
        </w:tc>
        <w:tc>
          <w:tcPr>
            <w:tcW w:w="3720" w:type="dxa"/>
            <w:vAlign w:val="bottom"/>
            <w:gridSpan w:val="4"/>
          </w:tcPr>
          <w:p>
            <w:pPr>
              <w:ind w:left="100"/>
              <w:spacing w:after="0"/>
              <w:rPr>
                <w:sz w:val="20"/>
                <w:szCs w:val="20"/>
                <w:color w:val="auto"/>
              </w:rPr>
            </w:pPr>
            <w:r>
              <w:rPr>
                <w:rFonts w:ascii="Arial" w:cs="Arial" w:eastAsia="Arial" w:hAnsi="Arial"/>
                <w:sz w:val="18"/>
                <w:szCs w:val="18"/>
                <w:color w:val="auto"/>
                <w:w w:val="94"/>
              </w:rPr>
              <w:t>CITIZENSHIP OR PLACE OF ORGANIZATION</w:t>
            </w:r>
          </w:p>
        </w:tc>
        <w:tc>
          <w:tcPr>
            <w:tcW w:w="7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Massachusetts</w:t>
            </w:r>
          </w:p>
        </w:tc>
        <w:tc>
          <w:tcPr>
            <w:tcW w:w="7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7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7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1,618,000</w:t>
            </w:r>
          </w:p>
        </w:tc>
        <w:tc>
          <w:tcPr>
            <w:tcW w:w="7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98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19"/>
                <w:szCs w:val="19"/>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7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7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72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tcBorders>
            <w:vMerge w:val="continue"/>
          </w:tcPr>
          <w:p>
            <w:pPr>
              <w:spacing w:after="0"/>
              <w:rPr>
                <w:sz w:val="19"/>
                <w:szCs w:val="19"/>
                <w:color w:val="auto"/>
              </w:rPr>
            </w:pPr>
          </w:p>
        </w:tc>
        <w:tc>
          <w:tcPr>
            <w:tcW w:w="7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980" w:type="dxa"/>
            <w:vAlign w:val="bottom"/>
            <w:tcBorders>
              <w:right w:val="single" w:sz="8" w:color="auto"/>
            </w:tcBorders>
            <w:gridSpan w:val="2"/>
          </w:tcPr>
          <w:p>
            <w:pPr>
              <w:jc w:val="center"/>
              <w:ind w:right="164"/>
              <w:spacing w:after="0" w:line="190"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6"/>
                <w:szCs w:val="16"/>
                <w:color w:val="auto"/>
              </w:rPr>
            </w:pPr>
          </w:p>
        </w:tc>
        <w:tc>
          <w:tcPr>
            <w:tcW w:w="20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b w:val="1"/>
                <w:bCs w:val="1"/>
                <w:color w:val="auto"/>
              </w:rPr>
              <w:t>7</w:t>
            </w:r>
          </w:p>
        </w:tc>
        <w:tc>
          <w:tcPr>
            <w:tcW w:w="272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7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720" w:type="dxa"/>
            <w:vAlign w:val="bottom"/>
            <w:vMerge w:val="restart"/>
          </w:tcPr>
          <w:p>
            <w:pPr>
              <w:ind w:left="300"/>
              <w:spacing w:after="0"/>
              <w:rPr>
                <w:sz w:val="20"/>
                <w:szCs w:val="20"/>
                <w:color w:val="auto"/>
              </w:rPr>
            </w:pPr>
            <w:r>
              <w:rPr>
                <w:rFonts w:ascii="Arial" w:cs="Arial" w:eastAsia="Arial" w:hAnsi="Arial"/>
                <w:sz w:val="22"/>
                <w:szCs w:val="22"/>
                <w:color w:val="auto"/>
              </w:rPr>
              <w:t>1,618,000</w:t>
            </w: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72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980" w:type="dxa"/>
            <w:vAlign w:val="bottom"/>
            <w:tcBorders>
              <w:right w:val="single" w:sz="8" w:color="auto"/>
            </w:tcBorders>
            <w:gridSpan w:val="2"/>
            <w:vMerge w:val="restart"/>
          </w:tcPr>
          <w:p>
            <w:pPr>
              <w:jc w:val="center"/>
              <w:ind w:right="184"/>
              <w:spacing w:after="0"/>
              <w:rPr>
                <w:sz w:val="20"/>
                <w:szCs w:val="20"/>
                <w:color w:val="auto"/>
              </w:rPr>
            </w:pPr>
            <w:r>
              <w:rPr>
                <w:rFonts w:ascii="Arial" w:cs="Arial" w:eastAsia="Arial" w:hAnsi="Arial"/>
                <w:sz w:val="18"/>
                <w:szCs w:val="18"/>
                <w:color w:val="auto"/>
                <w:w w:val="99"/>
              </w:rPr>
              <w:t>WITH</w:t>
            </w: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7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980" w:type="dxa"/>
            <w:vAlign w:val="bottom"/>
            <w:tcBorders>
              <w:right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2720" w:type="dxa"/>
            <w:vAlign w:val="bottom"/>
          </w:tcPr>
          <w:p>
            <w:pPr>
              <w:ind w:left="80"/>
              <w:spacing w:after="0"/>
              <w:rPr>
                <w:sz w:val="20"/>
                <w:szCs w:val="20"/>
                <w:color w:val="auto"/>
              </w:rPr>
            </w:pPr>
            <w:r>
              <w:rPr>
                <w:rFonts w:ascii="Arial" w:cs="Arial" w:eastAsia="Arial" w:hAnsi="Arial"/>
                <w:sz w:val="18"/>
                <w:szCs w:val="18"/>
                <w:color w:val="auto"/>
                <w:w w:val="98"/>
              </w:rPr>
              <w:t>SHARED DISPOSITIVE POWER</w:t>
            </w:r>
          </w:p>
        </w:tc>
        <w:tc>
          <w:tcPr>
            <w:tcW w:w="7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7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center"/>
              <w:ind w:left="52"/>
              <w:spacing w:after="0"/>
              <w:rPr>
                <w:sz w:val="20"/>
                <w:szCs w:val="20"/>
                <w:color w:val="auto"/>
              </w:rPr>
            </w:pPr>
            <w:r>
              <w:rPr>
                <w:rFonts w:ascii="Arial" w:cs="Arial" w:eastAsia="Arial" w:hAnsi="Arial"/>
                <w:sz w:val="18"/>
                <w:szCs w:val="18"/>
                <w:b w:val="1"/>
                <w:bCs w:val="1"/>
                <w:color w:val="auto"/>
                <w:w w:val="79"/>
              </w:rPr>
              <w:t>9</w:t>
            </w:r>
          </w:p>
        </w:tc>
        <w:tc>
          <w:tcPr>
            <w:tcW w:w="260" w:type="dxa"/>
            <w:vAlign w:val="bottom"/>
            <w:tcBorders>
              <w:right w:val="single" w:sz="8" w:color="auto"/>
            </w:tcBorders>
          </w:tcPr>
          <w:p>
            <w:pPr>
              <w:spacing w:after="0"/>
              <w:rPr>
                <w:sz w:val="19"/>
                <w:szCs w:val="19"/>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w w:val="75"/>
              </w:rPr>
              <w:t>AGGREGATE</w:t>
            </w:r>
          </w:p>
        </w:tc>
        <w:tc>
          <w:tcPr>
            <w:tcW w:w="9800" w:type="dxa"/>
            <w:vAlign w:val="bottom"/>
            <w:gridSpan w:val="2"/>
          </w:tcPr>
          <w:p>
            <w:pPr>
              <w:ind w:left="2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45"/>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372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1,618,000</w:t>
            </w:r>
          </w:p>
        </w:tc>
        <w:tc>
          <w:tcPr>
            <w:tcW w:w="7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center"/>
              <w:ind w:left="52"/>
              <w:spacing w:after="0"/>
              <w:rPr>
                <w:sz w:val="20"/>
                <w:szCs w:val="20"/>
                <w:color w:val="auto"/>
              </w:rPr>
            </w:pPr>
            <w:r>
              <w:rPr>
                <w:rFonts w:ascii="Arial" w:cs="Arial" w:eastAsia="Arial" w:hAnsi="Arial"/>
                <w:sz w:val="18"/>
                <w:szCs w:val="18"/>
                <w:b w:val="1"/>
                <w:bCs w:val="1"/>
                <w:color w:val="auto"/>
                <w:w w:val="79"/>
              </w:rPr>
              <w:t>10</w:t>
            </w:r>
          </w:p>
        </w:tc>
        <w:tc>
          <w:tcPr>
            <w:tcW w:w="260" w:type="dxa"/>
            <w:vAlign w:val="bottom"/>
            <w:tcBorders>
              <w:right w:val="single" w:sz="8" w:color="auto"/>
            </w:tcBorders>
          </w:tcPr>
          <w:p>
            <w:pPr>
              <w:spacing w:after="0"/>
              <w:rPr>
                <w:sz w:val="19"/>
                <w:szCs w:val="19"/>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0"/>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320"/>
              <w:spacing w:after="0" w:line="221" w:lineRule="exact"/>
              <w:rPr>
                <w:sz w:val="20"/>
                <w:szCs w:val="20"/>
                <w:color w:val="auto"/>
              </w:rPr>
            </w:pPr>
            <w:r>
              <w:rPr>
                <w:rFonts w:ascii="MS PGothic" w:cs="MS PGothic" w:eastAsia="MS PGothic" w:hAnsi="MS PGothic"/>
                <w:sz w:val="22"/>
                <w:szCs w:val="22"/>
                <w:color w:val="auto"/>
              </w:rPr>
              <w:t>☐</w:t>
            </w:r>
          </w:p>
        </w:tc>
        <w:tc>
          <w:tcPr>
            <w:tcW w:w="2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80" w:type="dxa"/>
            <w:vAlign w:val="bottom"/>
          </w:tcPr>
          <w:p>
            <w:pPr>
              <w:jc w:val="center"/>
              <w:ind w:left="52"/>
              <w:spacing w:after="0"/>
              <w:rPr>
                <w:sz w:val="20"/>
                <w:szCs w:val="20"/>
                <w:color w:val="auto"/>
              </w:rPr>
            </w:pPr>
            <w:r>
              <w:rPr>
                <w:rFonts w:ascii="Arial" w:cs="Arial" w:eastAsia="Arial" w:hAnsi="Arial"/>
                <w:sz w:val="18"/>
                <w:szCs w:val="18"/>
                <w:b w:val="1"/>
                <w:bCs w:val="1"/>
                <w:color w:val="auto"/>
                <w:w w:val="79"/>
              </w:rPr>
              <w:t>11</w:t>
            </w:r>
          </w:p>
        </w:tc>
        <w:tc>
          <w:tcPr>
            <w:tcW w:w="260" w:type="dxa"/>
            <w:vAlign w:val="bottom"/>
            <w:tcBorders>
              <w:right w:val="single" w:sz="8" w:color="auto"/>
            </w:tcBorders>
          </w:tcPr>
          <w:p>
            <w:pPr>
              <w:spacing w:after="0"/>
              <w:rPr>
                <w:sz w:val="19"/>
                <w:szCs w:val="19"/>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45"/>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91"/>
              </w:rPr>
              <w:t>5.0%</w:t>
            </w:r>
          </w:p>
        </w:tc>
        <w:tc>
          <w:tcPr>
            <w:tcW w:w="2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center"/>
              <w:ind w:left="52"/>
              <w:spacing w:after="0"/>
              <w:rPr>
                <w:sz w:val="20"/>
                <w:szCs w:val="20"/>
                <w:color w:val="auto"/>
              </w:rPr>
            </w:pPr>
            <w:r>
              <w:rPr>
                <w:rFonts w:ascii="Arial" w:cs="Arial" w:eastAsia="Arial" w:hAnsi="Arial"/>
                <w:sz w:val="18"/>
                <w:szCs w:val="18"/>
                <w:b w:val="1"/>
                <w:bCs w:val="1"/>
                <w:color w:val="auto"/>
                <w:w w:val="79"/>
              </w:rPr>
              <w:t>12</w:t>
            </w:r>
          </w:p>
        </w:tc>
        <w:tc>
          <w:tcPr>
            <w:tcW w:w="260" w:type="dxa"/>
            <w:vAlign w:val="bottom"/>
            <w:tcBorders>
              <w:right w:val="single" w:sz="8" w:color="auto"/>
            </w:tcBorders>
          </w:tcPr>
          <w:p>
            <w:pPr>
              <w:spacing w:after="0"/>
              <w:rPr>
                <w:sz w:val="19"/>
                <w:szCs w:val="19"/>
                <w:color w:val="auto"/>
              </w:rPr>
            </w:pPr>
          </w:p>
        </w:tc>
        <w:tc>
          <w:tcPr>
            <w:tcW w:w="1080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45"/>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IV</w:t>
            </w:r>
          </w:p>
        </w:tc>
        <w:tc>
          <w:tcPr>
            <w:tcW w:w="2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21"/>
          <w:szCs w:val="21"/>
          <w:color w:val="auto"/>
          <w:vertAlign w:val="superscript"/>
        </w:rPr>
      </w:pPr>
      <w:r>
        <w:rPr>
          <w:rFonts w:ascii="Arial" w:cs="Arial" w:eastAsia="Arial" w:hAnsi="Arial"/>
          <w:sz w:val="17"/>
          <w:szCs w:val="17"/>
          <w:color w:val="auto"/>
        </w:rPr>
        <w:t>This filing describes the reporting person’s relationship with other persons, but the reporting person does not affirm the existence of a group.</w:t>
      </w:r>
    </w:p>
    <w:p>
      <w:pPr>
        <w:sectPr>
          <w:pgSz w:w="11900" w:h="16838" w:orient="portrait"/>
          <w:cols w:equalWidth="0" w:num="1">
            <w:col w:w="11440"/>
          </w:cols>
          <w:pgMar w:left="240" w:top="287" w:right="219" w:bottom="1440" w:gutter="0" w:footer="0" w:header="0"/>
        </w:sectPr>
      </w:pPr>
    </w:p>
    <w:bookmarkStart w:id="3" w:name="page4"/>
    <w:bookmarkEnd w:id="3"/>
    <w:p>
      <w:pPr>
        <w:spacing w:after="0"/>
        <w:tabs>
          <w:tab w:leader="none" w:pos="1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5"/>
          <w:szCs w:val="15"/>
          <w:b w:val="1"/>
          <w:bCs w:val="1"/>
          <w:color w:val="auto"/>
        </w:rPr>
        <w:t>Name of Issuer:</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Exlservice Holdings Inc.</w:t>
      </w:r>
    </w:p>
    <w:p>
      <w:pPr>
        <w:spacing w:after="0" w:line="32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Address of Issuer’s Principal Executive Offices:</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280 Park Avenue</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New York, NY 10017</w:t>
      </w:r>
    </w:p>
    <w:p>
      <w:pPr>
        <w:spacing w:after="0" w:line="32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color w:val="auto"/>
        </w:rPr>
        <w:t>Name of Person Filing:</w:t>
      </w:r>
    </w:p>
    <w:p>
      <w:pPr>
        <w:spacing w:after="0" w:line="123" w:lineRule="exact"/>
        <w:rPr>
          <w:sz w:val="20"/>
          <w:szCs w:val="20"/>
          <w:color w:val="auto"/>
        </w:rPr>
      </w:pPr>
    </w:p>
    <w:p>
      <w:pPr>
        <w:ind w:left="2020" w:hanging="40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Columbia Wanger Asset Management, LLC</w:t>
      </w:r>
    </w:p>
    <w:p>
      <w:pPr>
        <w:spacing w:after="0" w:line="117" w:lineRule="exact"/>
        <w:rPr>
          <w:rFonts w:ascii="Arial" w:cs="Arial" w:eastAsia="Arial" w:hAnsi="Arial"/>
          <w:sz w:val="18"/>
          <w:szCs w:val="18"/>
          <w:color w:val="auto"/>
        </w:rPr>
      </w:pPr>
    </w:p>
    <w:p>
      <w:pPr>
        <w:ind w:left="2040" w:hanging="425"/>
        <w:spacing w:after="0"/>
        <w:tabs>
          <w:tab w:leader="none" w:pos="2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Columbia Acorn Fund</w:t>
      </w:r>
    </w:p>
    <w:p>
      <w:pPr>
        <w:spacing w:after="0" w:line="32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3" w:lineRule="exact"/>
        <w:rPr>
          <w:sz w:val="20"/>
          <w:szCs w:val="20"/>
          <w:color w:val="auto"/>
        </w:rPr>
      </w:pPr>
    </w:p>
    <w:p>
      <w:pPr>
        <w:ind w:left="2020" w:hanging="405"/>
        <w:spacing w:after="0"/>
        <w:tabs>
          <w:tab w:leader="none" w:pos="2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227 West Monroe Street, Suite 3000, Chicago, IL 60606</w:t>
      </w:r>
    </w:p>
    <w:p>
      <w:pPr>
        <w:spacing w:after="0" w:line="140" w:lineRule="exact"/>
        <w:rPr>
          <w:rFonts w:ascii="Arial" w:cs="Arial" w:eastAsia="Arial" w:hAnsi="Arial"/>
          <w:sz w:val="16"/>
          <w:szCs w:val="16"/>
          <w:color w:val="auto"/>
        </w:rPr>
      </w:pPr>
    </w:p>
    <w:p>
      <w:pPr>
        <w:ind w:left="2040" w:hanging="425"/>
        <w:spacing w:after="0"/>
        <w:tabs>
          <w:tab w:leader="none" w:pos="2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227 West Monroe Street, Suite 3000, Chicago, IL 60606</w:t>
      </w:r>
    </w:p>
    <w:p>
      <w:pPr>
        <w:spacing w:after="0" w:line="350"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5"/>
          <w:szCs w:val="15"/>
          <w:b w:val="1"/>
          <w:bCs w:val="1"/>
          <w:color w:val="auto"/>
        </w:rPr>
        <w:t>Citizenship:</w:t>
      </w:r>
    </w:p>
    <w:p>
      <w:pPr>
        <w:spacing w:after="0" w:line="123" w:lineRule="exact"/>
        <w:rPr>
          <w:sz w:val="20"/>
          <w:szCs w:val="20"/>
          <w:color w:val="auto"/>
        </w:rPr>
      </w:pPr>
    </w:p>
    <w:p>
      <w:pPr>
        <w:ind w:left="2020" w:hanging="405"/>
        <w:spacing w:after="0"/>
        <w:tabs>
          <w:tab w:leader="none" w:pos="2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Delaware</w:t>
      </w:r>
    </w:p>
    <w:p>
      <w:pPr>
        <w:spacing w:after="0" w:line="117" w:lineRule="exact"/>
        <w:rPr>
          <w:rFonts w:ascii="Arial" w:cs="Arial" w:eastAsia="Arial" w:hAnsi="Arial"/>
          <w:sz w:val="18"/>
          <w:szCs w:val="18"/>
          <w:color w:val="auto"/>
        </w:rPr>
      </w:pPr>
    </w:p>
    <w:p>
      <w:pPr>
        <w:ind w:left="2040" w:hanging="425"/>
        <w:spacing w:after="0"/>
        <w:tabs>
          <w:tab w:leader="none" w:pos="2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Massachusetts</w:t>
      </w:r>
    </w:p>
    <w:p>
      <w:pPr>
        <w:spacing w:after="0" w:line="32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Common Stock</w:t>
      </w:r>
    </w:p>
    <w:p>
      <w:pPr>
        <w:sectPr>
          <w:pgSz w:w="11900" w:h="16838" w:orient="portrait"/>
          <w:cols w:equalWidth="0" w:num="1">
            <w:col w:w="10219"/>
          </w:cols>
          <w:pgMar w:left="240" w:top="274" w:right="1440" w:bottom="1440" w:gutter="0" w:footer="0" w:header="0"/>
        </w:sectPr>
      </w:pPr>
    </w:p>
    <w:bookmarkStart w:id="4" w:name="page5"/>
    <w:bookmarkEnd w:id="4"/>
    <w:p>
      <w:pPr>
        <w:spacing w:after="0"/>
        <w:tabs>
          <w:tab w:leader="none" w:pos="1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2(e).</w:t>
      </w:r>
      <w:r>
        <w:rPr>
          <w:sz w:val="20"/>
          <w:szCs w:val="20"/>
          <w:color w:val="auto"/>
        </w:rPr>
        <w:tab/>
      </w:r>
      <w:r>
        <w:rPr>
          <w:rFonts w:ascii="Arial" w:cs="Arial" w:eastAsia="Arial" w:hAnsi="Arial"/>
          <w:sz w:val="16"/>
          <w:szCs w:val="16"/>
          <w:b w:val="1"/>
          <w:bCs w:val="1"/>
          <w:color w:val="auto"/>
        </w:rPr>
        <w:t>CUSIP Number:</w:t>
      </w:r>
    </w:p>
    <w:p>
      <w:pPr>
        <w:spacing w:after="0" w:line="1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302081104</w:t>
      </w:r>
    </w:p>
    <w:p>
      <w:pPr>
        <w:spacing w:after="0" w:line="32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23" w:lineRule="exact"/>
        <w:rPr>
          <w:sz w:val="20"/>
          <w:szCs w:val="20"/>
          <w:color w:val="auto"/>
        </w:rPr>
      </w:pPr>
    </w:p>
    <w:p>
      <w:pPr>
        <w:ind w:left="1900" w:hanging="406"/>
        <w:spacing w:after="0"/>
        <w:tabs>
          <w:tab w:leader="none" w:pos="1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Columbia Wanger Asset Management, LLC is an investment adviser in accordance with rule 13d-1(b)(1)(ii)(E).</w:t>
      </w:r>
    </w:p>
    <w:p>
      <w:pPr>
        <w:spacing w:after="0" w:line="117" w:lineRule="exact"/>
        <w:rPr>
          <w:rFonts w:ascii="Arial" w:cs="Arial" w:eastAsia="Arial" w:hAnsi="Arial"/>
          <w:sz w:val="18"/>
          <w:szCs w:val="18"/>
          <w:color w:val="auto"/>
        </w:rPr>
      </w:pPr>
    </w:p>
    <w:p>
      <w:pPr>
        <w:ind w:left="1920" w:hanging="426"/>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Columbia Acorn Fund is an investment company registered under Section 8 of the Investment Company Act.</w:t>
      </w:r>
    </w:p>
    <w:p>
      <w:pPr>
        <w:spacing w:after="0" w:line="32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1500" w:right="20"/>
        <w:spacing w:after="0" w:line="268" w:lineRule="auto"/>
        <w:rPr>
          <w:sz w:val="20"/>
          <w:szCs w:val="20"/>
          <w:color w:val="auto"/>
        </w:rPr>
      </w:pPr>
      <w:r>
        <w:rPr>
          <w:rFonts w:ascii="Arial" w:cs="Arial" w:eastAsia="Arial" w:hAnsi="Arial"/>
          <w:sz w:val="18"/>
          <w:szCs w:val="18"/>
          <w:color w:val="auto"/>
        </w:rPr>
        <w:t>With respect to the beneficial ownership of the reporting persons, see Items 5 through 11 of the cover pages to this Schedule 13G, which are incorporated herein by reference.</w:t>
      </w:r>
    </w:p>
    <w:p>
      <w:pPr>
        <w:spacing w:after="0" w:line="78" w:lineRule="exact"/>
        <w:rPr>
          <w:sz w:val="20"/>
          <w:szCs w:val="20"/>
          <w:color w:val="auto"/>
        </w:rPr>
      </w:pPr>
    </w:p>
    <w:p>
      <w:pPr>
        <w:ind w:left="1500"/>
        <w:spacing w:after="0" w:line="256" w:lineRule="auto"/>
        <w:rPr>
          <w:sz w:val="20"/>
          <w:szCs w:val="20"/>
          <w:color w:val="auto"/>
        </w:rPr>
      </w:pPr>
      <w:r>
        <w:rPr>
          <w:rFonts w:ascii="Arial" w:cs="Arial" w:eastAsia="Arial" w:hAnsi="Arial"/>
          <w:sz w:val="18"/>
          <w:szCs w:val="18"/>
          <w:color w:val="auto"/>
        </w:rPr>
        <w:t>Columbia Wanger Asset Management, LLC (CWAM) does not directly own any shares of common stock of the issuer. As the investment adviser of Columbia Acorn Fund and various other investment companies and managed accounts, CWAM may be deemed to beneficially own the shares reported herein by Columbia Acorn Fund. Accordingly, the shares reported herein by CWAM include those shares separately reported herein by Columbia Acorn Fund.</w:t>
      </w:r>
    </w:p>
    <w:p>
      <w:pPr>
        <w:spacing w:after="0" w:line="8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CWAM disclaims beneficial ownership of any shares reported herein.</w:t>
      </w:r>
    </w:p>
    <w:p>
      <w:pPr>
        <w:spacing w:after="0" w:line="32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1500" w:right="40"/>
        <w:spacing w:after="0" w:line="298" w:lineRule="auto"/>
        <w:rPr>
          <w:sz w:val="20"/>
          <w:szCs w:val="20"/>
          <w:color w:val="auto"/>
        </w:rPr>
      </w:pPr>
      <w:r>
        <w:rPr>
          <w:rFonts w:ascii="Arial" w:cs="Arial" w:eastAsia="Arial" w:hAnsi="Arial"/>
          <w:sz w:val="16"/>
          <w:szCs w:val="16"/>
          <w:color w:val="auto"/>
        </w:rPr>
        <w:t>To the knowledge of CWAM and Columbia Acorn Fund, no other persons besides CWAM and Columbia Acorn Fund and those persons for whose shares of common stock CWAM reports beneficial ownership have the right to receive or the power to direct the receipt of dividends from or the proceeds from the sale of the securities of the issuer reported herein. As of June 30, 2012, only Columbia Acorn Fund, a Massachusetts business trust managed by CWAM, owned more than 5% of the class of securities reported herein.</w:t>
      </w:r>
    </w:p>
    <w:p>
      <w:pPr>
        <w:sectPr>
          <w:pgSz w:w="11900" w:h="16838" w:orient="portrait"/>
          <w:cols w:equalWidth="0" w:num="1">
            <w:col w:w="11360"/>
          </w:cols>
          <w:pgMar w:left="240" w:top="274" w:right="299" w:bottom="1440" w:gutter="0" w:footer="0" w:header="0"/>
        </w:sectPr>
      </w:pPr>
    </w:p>
    <w:bookmarkStart w:id="5" w:name="page6"/>
    <w:bookmarkEnd w:id="5"/>
    <w:p>
      <w:pPr>
        <w:ind w:left="15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remaining shares reported herein by CWAM are held by various other funds or accounts managed by CWAM which each have the right to receive any dividends paid by the issuer and could terminate their respective investment advisory relationship with CWAM and then subsequently direct the use of proceeds from the sale of common stock owned by such fund or account. To CWAM’s knowledge, none of these other funds or accounts owned more than 5% of the outstanding shares of the issuer as of June 30, 2012.</w:t>
      </w:r>
    </w:p>
    <w:p>
      <w:pPr>
        <w:spacing w:after="0" w:line="269" w:lineRule="exact"/>
        <w:rPr>
          <w:sz w:val="20"/>
          <w:szCs w:val="20"/>
          <w:color w:val="auto"/>
        </w:rPr>
      </w:pPr>
    </w:p>
    <w:p>
      <w:pPr>
        <w:ind w:left="1500" w:right="40" w:hanging="1485"/>
        <w:spacing w:after="0" w:line="275" w:lineRule="auto"/>
        <w:tabs>
          <w:tab w:leader="none" w:pos="14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he Security Being Reported on by the Parent Holding Company or Control Person:</w:t>
      </w:r>
    </w:p>
    <w:p>
      <w:pPr>
        <w:spacing w:after="0" w:line="7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60"/>
          </w:cols>
          <w:pgMar w:left="240" w:top="280" w:right="299" w:bottom="1440" w:gutter="0" w:footer="0" w:header="0"/>
        </w:sectPr>
      </w:pPr>
    </w:p>
    <w:bookmarkStart w:id="6" w:name="page7"/>
    <w:bookmarkEnd w:id="6"/>
    <w:p>
      <w:pPr>
        <w:spacing w:after="0"/>
        <w:tabs>
          <w:tab w:leader="none" w:pos="1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w:t>
      </w:r>
    </w:p>
    <w:p>
      <w:pPr>
        <w:spacing w:after="0" w:line="123" w:lineRule="exact"/>
        <w:rPr>
          <w:sz w:val="20"/>
          <w:szCs w:val="20"/>
          <w:color w:val="auto"/>
        </w:rPr>
      </w:pPr>
    </w:p>
    <w:p>
      <w:pPr>
        <w:ind w:left="1620"/>
        <w:spacing w:after="0" w:line="256" w:lineRule="auto"/>
        <w:rPr>
          <w:sz w:val="20"/>
          <w:szCs w:val="20"/>
          <w:color w:val="auto"/>
        </w:rPr>
      </w:pPr>
      <w:r>
        <w:rPr>
          <w:rFonts w:ascii="Arial" w:cs="Arial" w:eastAsia="Arial" w:hAnsi="Arial"/>
          <w:sz w:val="18"/>
          <w:szCs w:val="18"/>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29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July 3, 2012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Columbia Wanger Asset Management, LLC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Bruce H. Lauer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Bruce H. Lauer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Operating Officer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Columbia Acorn Fund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Bruce H. Lauer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Bruce H. Lauer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 Treasurer and Secretary</w:t>
      </w:r>
    </w:p>
    <w:p>
      <w:pPr>
        <w:sectPr>
          <w:pgSz w:w="11900" w:h="16838" w:orient="portrait"/>
          <w:cols w:equalWidth="0" w:num="1">
            <w:col w:w="11340"/>
          </w:cols>
          <w:pgMar w:left="240" w:top="274" w:right="31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99.1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99.1 - JOINT FILING AGREEMENT</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accordance with Rule 13d-1(k)(1) promulgated under the Securities and Exchange Act of 1934, as amended, the undersigned hereby agree to the joint filing with each other on behalf of each of them of to such a statement on Schedule 13G with respect to the common stock of beneficially owned by each of them. This Joint Filing Agreement shall be included as an exhibit to such Schedule 13G.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July 3, 2012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Columbia Wanger Asset Management, LLC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Bruce H. Lauer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Bruce H. Lauer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Operating Officer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Columbia Acorn Fund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Bruce H. Lauer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Bruce H. Lauer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 Treasurer and Secretary</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2019-12-09T16:41:25Z</dcterms:created>
  <dcterms:modified xsi:type="dcterms:W3CDTF">2019-12-09T16:41:25Z</dcterms:modified>
</cp:coreProperties>
</file>