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83"/>
        </w:trPr>
        <w:tc>
          <w:tcPr>
            <w:tcW w:w="2080" w:type="dxa"/>
            <w:vAlign w:val="bottom"/>
          </w:tcPr>
          <w:p>
            <w:pPr>
              <w:spacing w:after="0"/>
              <w:rPr>
                <w:sz w:val="20"/>
                <w:szCs w:val="20"/>
                <w:color w:val="auto"/>
              </w:rPr>
            </w:pPr>
            <w:r>
              <w:rPr>
                <w:rFonts w:ascii="Times New Roman" w:cs="Times New Roman" w:eastAsia="Times New Roman" w:hAnsi="Times New Roman"/>
                <w:sz w:val="22"/>
                <w:szCs w:val="22"/>
                <w:color w:val="auto"/>
              </w:rPr>
              <w:t>SEC Form 3</w:t>
            </w:r>
          </w:p>
        </w:tc>
        <w:tc>
          <w:tcPr>
            <w:tcW w:w="7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80" w:type="dxa"/>
            <w:vAlign w:val="bottom"/>
          </w:tcPr>
          <w:p>
            <w:pPr>
              <w:ind w:left="700"/>
              <w:spacing w:after="0" w:line="268" w:lineRule="exact"/>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7120" w:type="dxa"/>
            <w:vAlign w:val="bottom"/>
            <w:vMerge w:val="restart"/>
          </w:tcPr>
          <w:p>
            <w:pPr>
              <w:jc w:val="center"/>
              <w:ind w:left="4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7"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2792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7926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20" w:type="dxa"/>
            <w:vAlign w:val="bottom"/>
            <w:gridSpan w:val="2"/>
            <w:vMerge w:val="restart"/>
          </w:tcPr>
          <w:p>
            <w:pPr>
              <w:spacing w:after="0"/>
              <w:rPr>
                <w:rFonts w:ascii="Times New Roman" w:cs="Times New Roman" w:eastAsia="Times New Roman" w:hAnsi="Times New Roman"/>
                <w:sz w:val="22"/>
                <w:szCs w:val="22"/>
                <w:color w:val="0000EE"/>
              </w:rPr>
            </w:pPr>
            <w:hyperlink r:id="rId11">
              <w:r>
                <w:rPr>
                  <w:rFonts w:ascii="Times New Roman" w:cs="Times New Roman" w:eastAsia="Times New Roman" w:hAnsi="Times New Roman"/>
                  <w:sz w:val="22"/>
                  <w:szCs w:val="22"/>
                  <w:color w:val="0000EE"/>
                </w:rPr>
                <w:t>TYAGI SANDEEP</w:t>
              </w:r>
            </w:hyperlink>
          </w:p>
        </w:tc>
        <w:tc>
          <w:tcPr>
            <w:tcW w:w="1380" w:type="dxa"/>
            <w:vAlign w:val="bottom"/>
          </w:tcPr>
          <w:p>
            <w:pPr>
              <w:ind w:left="160"/>
              <w:spacing w:after="0" w:line="118" w:lineRule="exact"/>
              <w:rPr>
                <w:sz w:val="20"/>
                <w:szCs w:val="20"/>
                <w:color w:val="auto"/>
              </w:rPr>
            </w:pPr>
            <w:r>
              <w:rPr>
                <w:rFonts w:ascii="Arial" w:cs="Arial" w:eastAsia="Arial" w:hAnsi="Arial"/>
                <w:sz w:val="12"/>
                <w:szCs w:val="12"/>
                <w:color w:val="auto"/>
              </w:rPr>
              <w:t>Requiring Statement</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20" w:type="dxa"/>
            <w:vAlign w:val="bottom"/>
            <w:gridSpan w:val="2"/>
            <w:vMerge w:val="continue"/>
          </w:tcPr>
          <w:p>
            <w:pPr>
              <w:spacing w:after="0"/>
              <w:rPr>
                <w:sz w:val="13"/>
                <w:szCs w:val="13"/>
                <w:color w:val="auto"/>
              </w:rPr>
            </w:pPr>
          </w:p>
        </w:tc>
        <w:tc>
          <w:tcPr>
            <w:tcW w:w="1380" w:type="dxa"/>
            <w:vAlign w:val="bottom"/>
          </w:tcPr>
          <w:p>
            <w:pPr>
              <w:ind w:left="160"/>
              <w:spacing w:after="0" w:line="152"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680" w:type="dxa"/>
            <w:vAlign w:val="bottom"/>
            <w:tcBorders>
              <w:top w:val="single" w:sz="8" w:color="0000EE"/>
              <w:bottom w:val="single" w:sz="8" w:color="9A9A9A"/>
            </w:tcBorders>
          </w:tcPr>
          <w:p>
            <w:pPr>
              <w:spacing w:after="0"/>
              <w:rPr>
                <w:sz w:val="15"/>
                <w:szCs w:val="15"/>
                <w:color w:val="auto"/>
              </w:rPr>
            </w:pPr>
          </w:p>
        </w:tc>
        <w:tc>
          <w:tcPr>
            <w:tcW w:w="15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Times New Roman" w:cs="Times New Roman" w:eastAsia="Times New Roman" w:hAnsi="Times New Roman"/>
                <w:sz w:val="18"/>
                <w:szCs w:val="18"/>
                <w:color w:val="0000FF"/>
              </w:rPr>
              <w:t>10/19/2006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u w:val="single" w:color="auto"/>
            <w:color w:val="0000EE"/>
          </w:rPr>
          <w:t>ExlService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EXLS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71" w:lineRule="exact"/>
        <w:rPr>
          <w:sz w:val="24"/>
          <w:szCs w:val="24"/>
          <w:color w:val="auto"/>
        </w:rPr>
      </w:pPr>
    </w:p>
    <w:p>
      <w:pPr>
        <w:sectPr>
          <w:pgSz w:w="11900" w:h="16838" w:orient="portrait"/>
          <w:cols w:equalWidth="0" w:num="2">
            <w:col w:w="4720" w:space="480"/>
            <w:col w:w="6220"/>
          </w:cols>
          <w:pgMar w:left="240" w:top="220"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040" w:type="dxa"/>
            <w:vAlign w:val="bottom"/>
          </w:tcPr>
          <w:p>
            <w:pPr>
              <w:ind w:left="20"/>
              <w:spacing w:after="0"/>
              <w:rPr>
                <w:sz w:val="20"/>
                <w:szCs w:val="20"/>
                <w:color w:val="auto"/>
              </w:rPr>
            </w:pPr>
            <w:r>
              <w:rPr>
                <w:rFonts w:ascii="Arial" w:cs="Arial" w:eastAsia="Arial" w:hAnsi="Arial"/>
                <w:sz w:val="14"/>
                <w:szCs w:val="14"/>
                <w:color w:val="auto"/>
              </w:rPr>
              <w:t>(Last)</w:t>
            </w:r>
          </w:p>
        </w:tc>
        <w:tc>
          <w:tcPr>
            <w:tcW w:w="820" w:type="dxa"/>
            <w:vAlign w:val="bottom"/>
          </w:tcPr>
          <w:p>
            <w:pPr>
              <w:ind w:left="8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0"/>
        </w:trPr>
        <w:tc>
          <w:tcPr>
            <w:tcW w:w="20" w:type="dxa"/>
            <w:vAlign w:val="bottom"/>
          </w:tcPr>
          <w:p>
            <w:pPr>
              <w:spacing w:after="0"/>
              <w:rPr>
                <w:sz w:val="24"/>
                <w:szCs w:val="24"/>
                <w:color w:val="auto"/>
              </w:rPr>
            </w:pPr>
          </w:p>
        </w:tc>
        <w:tc>
          <w:tcPr>
            <w:tcW w:w="1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350 PARK AVENUE</w:t>
            </w:r>
          </w:p>
        </w:tc>
        <w:tc>
          <w:tcPr>
            <w:tcW w:w="138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0"/>
        </w:trPr>
        <w:tc>
          <w:tcPr>
            <w:tcW w:w="20" w:type="dxa"/>
            <w:vAlign w:val="bottom"/>
          </w:tcPr>
          <w:p>
            <w:pPr>
              <w:spacing w:after="0"/>
              <w:rPr>
                <w:sz w:val="20"/>
                <w:szCs w:val="20"/>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0000FF"/>
              </w:rPr>
              <w:t>NEW YORK</w:t>
            </w:r>
          </w:p>
        </w:tc>
        <w:tc>
          <w:tcPr>
            <w:tcW w:w="82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NY</w:t>
            </w:r>
          </w:p>
        </w:tc>
        <w:tc>
          <w:tcPr>
            <w:tcW w:w="1380" w:type="dxa"/>
            <w:vAlign w:val="bottom"/>
          </w:tcPr>
          <w:p>
            <w:pPr>
              <w:ind w:left="340"/>
              <w:spacing w:after="0"/>
              <w:rPr>
                <w:sz w:val="20"/>
                <w:szCs w:val="20"/>
                <w:color w:val="auto"/>
              </w:rPr>
            </w:pPr>
            <w:r>
              <w:rPr>
                <w:rFonts w:ascii="Times New Roman" w:cs="Times New Roman" w:eastAsia="Times New Roman" w:hAnsi="Times New Roman"/>
                <w:sz w:val="18"/>
                <w:szCs w:val="18"/>
                <w:color w:val="0000FF"/>
              </w:rPr>
              <w:t>10022</w:t>
            </w:r>
          </w:p>
        </w:tc>
      </w:tr>
      <w:tr>
        <w:trPr>
          <w:trHeight w:val="158"/>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2"/>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4"/>
                <w:szCs w:val="14"/>
                <w:color w:val="auto"/>
              </w:rPr>
              <w:t>(City)</w:t>
            </w:r>
          </w:p>
        </w:tc>
        <w:tc>
          <w:tcPr>
            <w:tcW w:w="820" w:type="dxa"/>
            <w:vAlign w:val="bottom"/>
          </w:tcPr>
          <w:p>
            <w:pPr>
              <w:ind w:left="8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50"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 w:lineRule="exact"/>
        <w:rPr>
          <w:sz w:val="24"/>
          <w:szCs w:val="24"/>
          <w:color w:val="auto"/>
        </w:rPr>
      </w:pPr>
    </w:p>
    <w:tbl>
      <w:tblPr>
        <w:tblLayout w:type="fixed"/>
        <w:tblInd w:w="206" w:type="dxa"/>
        <w:tblCellMar>
          <w:top w:w="0" w:type="dxa"/>
          <w:left w:w="0" w:type="dxa"/>
          <w:bottom w:w="0" w:type="dxa"/>
          <w:right w:w="0" w:type="dxa"/>
        </w:tblCellMar>
      </w:tblPr>
      <w:tr>
        <w:trPr>
          <w:trHeight w:val="180"/>
        </w:trPr>
        <w:tc>
          <w:tcPr>
            <w:tcW w:w="220" w:type="dxa"/>
            <w:vAlign w:val="bottom"/>
          </w:tcPr>
          <w:p>
            <w:pPr>
              <w:spacing w:after="0"/>
              <w:rPr>
                <w:sz w:val="15"/>
                <w:szCs w:val="15"/>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71"/>
        </w:trPr>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23"/>
        </w:trPr>
        <w:tc>
          <w:tcPr>
            <w:tcW w:w="220" w:type="dxa"/>
            <w:vAlign w:val="bottom"/>
            <w:vMerge w:val="continue"/>
          </w:tcPr>
          <w:p>
            <w:pPr>
              <w:spacing w:after="0"/>
              <w:rPr>
                <w:sz w:val="10"/>
                <w:szCs w:val="10"/>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8"/>
        </w:trPr>
        <w:tc>
          <w:tcPr>
            <w:tcW w:w="22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46"/>
        <w:spacing w:after="0"/>
        <w:rPr>
          <w:sz w:val="20"/>
          <w:szCs w:val="20"/>
          <w:color w:val="auto"/>
        </w:rPr>
      </w:pPr>
      <w:r>
        <w:rPr>
          <w:rFonts w:ascii="Times New Roman" w:cs="Times New Roman" w:eastAsia="Times New Roman" w:hAnsi="Times New Roman"/>
          <w:sz w:val="18"/>
          <w:szCs w:val="18"/>
          <w:color w:val="0000FF"/>
        </w:rPr>
        <w:t>VP, Head of Knowledge Sciences</w:t>
      </w:r>
    </w:p>
    <w:p>
      <w:pPr>
        <w:spacing w:after="0" w:line="20" w:lineRule="exact"/>
        <w:rPr>
          <w:sz w:val="24"/>
          <w:szCs w:val="24"/>
          <w:color w:val="auto"/>
        </w:rPr>
      </w:pPr>
      <w:r>
        <w:rPr>
          <w:sz w:val="24"/>
          <w:szCs w:val="24"/>
          <w:color w:val="auto"/>
        </w:rPr>
        <w:br w:type="column"/>
      </w:r>
    </w:p>
    <w:p>
      <w:pPr>
        <w:ind w:left="3" w:right="480" w:hanging="3"/>
        <w:spacing w:after="0" w:line="250"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18" w:lineRule="exact"/>
        <w:rPr>
          <w:rFonts w:ascii="Arial" w:cs="Arial" w:eastAsia="Arial" w:hAnsi="Arial"/>
          <w:sz w:val="14"/>
          <w:szCs w:val="14"/>
          <w:color w:val="auto"/>
        </w:rPr>
      </w:pPr>
    </w:p>
    <w:p>
      <w:pPr>
        <w:ind w:left="3" w:right="380" w:hanging="3"/>
        <w:spacing w:after="0" w:line="250"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25" w:lineRule="exact"/>
        <w:rPr>
          <w:sz w:val="24"/>
          <w:szCs w:val="24"/>
          <w:color w:val="auto"/>
        </w:rPr>
      </w:pPr>
    </w:p>
    <w:p>
      <w:pPr>
        <w:ind w:left="483" w:hanging="316"/>
        <w:spacing w:after="0"/>
        <w:tabs>
          <w:tab w:leader="none" w:pos="483" w:val="left"/>
        </w:tabs>
        <w:numPr>
          <w:ilvl w:val="0"/>
          <w:numId w:val="3"/>
        </w:numPr>
        <w:rPr>
          <w:rFonts w:ascii="Times New Roman" w:cs="Times New Roman" w:eastAsia="Times New Roman" w:hAnsi="Times New Roman"/>
          <w:sz w:val="16"/>
          <w:szCs w:val="16"/>
          <w:color w:val="0000FF"/>
        </w:rPr>
      </w:pPr>
      <w:r>
        <w:rPr>
          <w:rFonts w:ascii="Arial" w:cs="Arial" w:eastAsia="Arial" w:hAnsi="Arial"/>
          <w:sz w:val="13"/>
          <w:szCs w:val="13"/>
          <w:color w:val="auto"/>
        </w:rPr>
        <w:t>Form filed by One Reporting Person</w:t>
      </w:r>
    </w:p>
    <w:p>
      <w:pPr>
        <w:spacing w:after="0" w:line="62" w:lineRule="exact"/>
        <w:rPr>
          <w:rFonts w:ascii="Times New Roman" w:cs="Times New Roman" w:eastAsia="Times New Roman" w:hAnsi="Times New Roman"/>
          <w:sz w:val="16"/>
          <w:szCs w:val="16"/>
          <w:color w:val="0000FF"/>
        </w:rPr>
      </w:pPr>
    </w:p>
    <w:p>
      <w:pPr>
        <w:ind w:left="483" w:right="640"/>
        <w:spacing w:after="0" w:line="250" w:lineRule="auto"/>
        <w:rPr>
          <w:rFonts w:ascii="Times New Roman" w:cs="Times New Roman" w:eastAsia="Times New Roman" w:hAnsi="Times New Roman"/>
          <w:sz w:val="16"/>
          <w:szCs w:val="16"/>
          <w:color w:val="0000FF"/>
        </w:rPr>
      </w:pPr>
      <w:r>
        <w:rPr>
          <w:rFonts w:ascii="Arial" w:cs="Arial" w:eastAsia="Arial" w:hAnsi="Arial"/>
          <w:sz w:val="14"/>
          <w:szCs w:val="14"/>
          <w:color w:val="auto"/>
        </w:rPr>
        <w:t>Form filed by More than One Reporting Person</w:t>
      </w:r>
    </w:p>
    <w:p>
      <w:pPr>
        <w:spacing w:after="0" w:line="484" w:lineRule="exact"/>
        <w:rPr>
          <w:sz w:val="24"/>
          <w:szCs w:val="24"/>
          <w:color w:val="auto"/>
        </w:rPr>
      </w:pPr>
    </w:p>
    <w:p>
      <w:pPr>
        <w:sectPr>
          <w:pgSz w:w="11900" w:h="16838" w:orient="portrait"/>
          <w:cols w:equalWidth="0" w:num="3">
            <w:col w:w="4474" w:space="720"/>
            <w:col w:w="3006" w:space="397"/>
            <w:col w:w="2823"/>
          </w:cols>
          <w:pgMar w:left="240" w:top="220"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90"/>
        </w:trPr>
        <w:tc>
          <w:tcPr>
            <w:tcW w:w="344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6"/>
                <w:szCs w:val="16"/>
                <w:color w:val="auto"/>
              </w:rPr>
            </w:pPr>
          </w:p>
        </w:tc>
      </w:tr>
      <w:tr>
        <w:trPr>
          <w:trHeight w:val="38"/>
        </w:trPr>
        <w:tc>
          <w:tcPr>
            <w:tcW w:w="3440" w:type="dxa"/>
            <w:vAlign w:val="bottom"/>
            <w:tcBorders>
              <w:bottom w:val="single" w:sz="8" w:color="2C2C2C"/>
            </w:tcBorders>
          </w:tcPr>
          <w:p>
            <w:pPr>
              <w:spacing w:after="0"/>
              <w:rPr>
                <w:sz w:val="3"/>
                <w:szCs w:val="3"/>
                <w:color w:val="auto"/>
              </w:rPr>
            </w:pPr>
          </w:p>
        </w:tc>
        <w:tc>
          <w:tcPr>
            <w:tcW w:w="36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tcPr>
          <w:p>
            <w:pPr>
              <w:spacing w:after="0"/>
              <w:rPr>
                <w:sz w:val="3"/>
                <w:szCs w:val="3"/>
                <w:color w:val="auto"/>
              </w:rPr>
            </w:pPr>
          </w:p>
        </w:tc>
        <w:tc>
          <w:tcPr>
            <w:tcW w:w="3000" w:type="dxa"/>
            <w:vAlign w:val="bottom"/>
            <w:tcBorders>
              <w:bottom w:val="single" w:sz="8" w:color="2C2C2C"/>
            </w:tcBorders>
          </w:tcPr>
          <w:p>
            <w:pPr>
              <w:spacing w:after="0"/>
              <w:rPr>
                <w:sz w:val="3"/>
                <w:szCs w:val="3"/>
                <w:color w:val="auto"/>
              </w:rPr>
            </w:pPr>
          </w:p>
        </w:tc>
      </w:tr>
    </w:tbl>
    <w:p>
      <w:pPr>
        <w:spacing w:after="0" w:line="40" w:lineRule="exact"/>
        <w:rPr>
          <w:sz w:val="24"/>
          <w:szCs w:val="24"/>
          <w:color w:val="auto"/>
        </w:rPr>
      </w:pPr>
    </w:p>
    <w:tbl>
      <w:tblPr>
        <w:tblLayout w:type="fixed"/>
        <w:tblInd w:w="0" w:type="dxa"/>
        <w:tblCellMar>
          <w:top w:w="0" w:type="dxa"/>
          <w:left w:w="0" w:type="dxa"/>
          <w:bottom w:w="0" w:type="dxa"/>
          <w:right w:w="0" w:type="dxa"/>
        </w:tblCellMar>
      </w:tblPr>
      <w:tr>
        <w:trPr>
          <w:trHeight w:val="336"/>
        </w:trPr>
        <w:tc>
          <w:tcPr>
            <w:tcW w:w="20" w:type="dxa"/>
            <w:vAlign w:val="bottom"/>
            <w:tcBorders>
              <w:bottom w:val="single" w:sz="8" w:color="2C2C2C"/>
            </w:tcBorders>
          </w:tcPr>
          <w:p>
            <w:pPr>
              <w:spacing w:after="0"/>
              <w:rPr>
                <w:sz w:val="24"/>
                <w:szCs w:val="24"/>
                <w:color w:val="auto"/>
              </w:rPr>
            </w:pPr>
          </w:p>
        </w:tc>
        <w:tc>
          <w:tcPr>
            <w:tcW w:w="32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8"/>
                <w:szCs w:val="18"/>
                <w:color w:val="0000FF"/>
                <w:w w:val="96"/>
              </w:rPr>
              <w:t>Common Stock, par value $0.001 per share</w:t>
            </w:r>
            <w:r>
              <w:rPr>
                <w:rFonts w:ascii="Times New Roman" w:cs="Times New Roman" w:eastAsia="Times New Roman" w:hAnsi="Times New Roman"/>
                <w:sz w:val="22"/>
                <w:szCs w:val="22"/>
                <w:color w:val="008000"/>
                <w:w w:val="96"/>
                <w:vertAlign w:val="superscript"/>
              </w:rPr>
              <w:t>(1)</w:t>
            </w:r>
          </w:p>
        </w:tc>
        <w:tc>
          <w:tcPr>
            <w:tcW w:w="3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2060" w:type="dxa"/>
            <w:vAlign w:val="bottom"/>
            <w:tcBorders>
              <w:bottom w:val="single" w:sz="8" w:color="2C2C2C"/>
            </w:tcBorders>
          </w:tcPr>
          <w:p>
            <w:pPr>
              <w:jc w:val="right"/>
              <w:ind w:right="842"/>
              <w:spacing w:after="0"/>
              <w:rPr>
                <w:sz w:val="20"/>
                <w:szCs w:val="20"/>
                <w:color w:val="auto"/>
              </w:rPr>
            </w:pPr>
            <w:r>
              <w:rPr>
                <w:rFonts w:ascii="Times New Roman" w:cs="Times New Roman" w:eastAsia="Times New Roman" w:hAnsi="Times New Roman"/>
                <w:sz w:val="18"/>
                <w:szCs w:val="18"/>
                <w:color w:val="0000FF"/>
              </w:rPr>
              <w:t>656,136</w:t>
            </w:r>
          </w:p>
        </w:tc>
        <w:tc>
          <w:tcPr>
            <w:tcW w:w="70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32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5620" w:type="dxa"/>
            <w:vAlign w:val="bottom"/>
            <w:gridSpan w:val="6"/>
          </w:tcPr>
          <w:p>
            <w:pPr>
              <w:ind w:left="2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2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27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2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300" w:type="dxa"/>
            <w:vAlign w:val="bottom"/>
          </w:tcPr>
          <w:p>
            <w:pPr>
              <w:spacing w:after="0"/>
              <w:rPr>
                <w:sz w:val="15"/>
                <w:szCs w:val="15"/>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2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3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0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3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tcPr>
          <w:p>
            <w:pPr>
              <w:spacing w:after="0"/>
              <w:rPr>
                <w:sz w:val="4"/>
                <w:szCs w:val="4"/>
                <w:color w:val="auto"/>
              </w:rPr>
            </w:pPr>
          </w:p>
        </w:tc>
        <w:tc>
          <w:tcPr>
            <w:tcW w:w="7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880" w:type="dxa"/>
            <w:vAlign w:val="bottom"/>
          </w:tcPr>
          <w:p>
            <w:pPr>
              <w:ind w:left="60"/>
              <w:spacing w:after="0" w:line="141"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41"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Date</w:t>
            </w:r>
          </w:p>
        </w:tc>
        <w:tc>
          <w:tcPr>
            <w:tcW w:w="8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Expiration</w:t>
            </w:r>
          </w:p>
        </w:tc>
        <w:tc>
          <w:tcPr>
            <w:tcW w:w="2060" w:type="dxa"/>
            <w:vAlign w:val="bottom"/>
          </w:tcPr>
          <w:p>
            <w:pPr>
              <w:spacing w:after="0"/>
              <w:rPr>
                <w:sz w:val="12"/>
                <w:szCs w:val="12"/>
                <w:color w:val="auto"/>
              </w:rPr>
            </w:pPr>
          </w:p>
        </w:tc>
        <w:tc>
          <w:tcPr>
            <w:tcW w:w="700" w:type="dxa"/>
            <w:vAlign w:val="bottom"/>
          </w:tcPr>
          <w:p>
            <w:pPr>
              <w:ind w:left="80"/>
              <w:spacing w:after="0" w:line="143"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20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Title</w:t>
            </w:r>
          </w:p>
        </w:tc>
        <w:tc>
          <w:tcPr>
            <w:tcW w:w="7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2060" w:type="dxa"/>
            <w:vAlign w:val="bottom"/>
            <w:vMerge w:val="continue"/>
          </w:tcPr>
          <w:p>
            <w:pPr>
              <w:spacing w:after="0"/>
              <w:rPr>
                <w:sz w:val="16"/>
                <w:szCs w:val="16"/>
                <w:color w:val="auto"/>
              </w:rPr>
            </w:pPr>
          </w:p>
        </w:tc>
        <w:tc>
          <w:tcPr>
            <w:tcW w:w="700" w:type="dxa"/>
            <w:vAlign w:val="bottom"/>
          </w:tcPr>
          <w:p>
            <w:pPr>
              <w:ind w:left="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2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0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2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Restricted Stock</w:t>
            </w:r>
            <w:r>
              <w:rPr>
                <w:rFonts w:ascii="Times New Roman" w:cs="Times New Roman" w:eastAsia="Times New Roman" w:hAnsi="Times New Roman"/>
                <w:sz w:val="22"/>
                <w:szCs w:val="22"/>
                <w:color w:val="008000"/>
                <w:vertAlign w:val="superscript"/>
              </w:rPr>
              <w:t>(1)</w:t>
            </w:r>
          </w:p>
        </w:tc>
        <w:tc>
          <w:tcPr>
            <w:tcW w:w="1180" w:type="dxa"/>
            <w:vAlign w:val="bottom"/>
            <w:gridSpan w:val="2"/>
            <w:vMerge w:val="restart"/>
          </w:tcPr>
          <w:p>
            <w:pPr>
              <w:jc w:val="right"/>
              <w:ind w:right="309"/>
              <w:spacing w:after="0"/>
              <w:rPr>
                <w:sz w:val="20"/>
                <w:szCs w:val="20"/>
                <w:color w:val="auto"/>
              </w:rPr>
            </w:pPr>
            <w:r>
              <w:rPr>
                <w:rFonts w:ascii="Times New Roman" w:cs="Times New Roman" w:eastAsia="Times New Roman" w:hAnsi="Times New Roman"/>
                <w:sz w:val="11"/>
                <w:szCs w:val="11"/>
                <w:color w:val="008000"/>
              </w:rPr>
              <w:t>(2)</w:t>
            </w:r>
          </w:p>
        </w:tc>
        <w:tc>
          <w:tcPr>
            <w:tcW w:w="800" w:type="dxa"/>
            <w:vAlign w:val="bottom"/>
            <w:vMerge w:val="restart"/>
          </w:tcPr>
          <w:p>
            <w:pPr>
              <w:jc w:val="right"/>
              <w:ind w:right="276"/>
              <w:spacing w:after="0"/>
              <w:rPr>
                <w:sz w:val="20"/>
                <w:szCs w:val="20"/>
                <w:color w:val="auto"/>
              </w:rPr>
            </w:pPr>
            <w:r>
              <w:rPr>
                <w:rFonts w:ascii="Times New Roman" w:cs="Times New Roman" w:eastAsia="Times New Roman" w:hAnsi="Times New Roman"/>
                <w:sz w:val="11"/>
                <w:szCs w:val="11"/>
                <w:color w:val="008000"/>
              </w:rPr>
              <w:t>(2)</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7"/>
              </w:rPr>
              <w:t>Common Stock, par value</w:t>
            </w:r>
          </w:p>
        </w:tc>
        <w:tc>
          <w:tcPr>
            <w:tcW w:w="70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0000FF"/>
              </w:rPr>
              <w:t>5,070</w:t>
            </w:r>
          </w:p>
        </w:tc>
        <w:tc>
          <w:tcPr>
            <w:tcW w:w="88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(3)</w:t>
            </w:r>
          </w:p>
        </w:tc>
        <w:tc>
          <w:tcPr>
            <w:tcW w:w="88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60" w:type="dxa"/>
            <w:vAlign w:val="bottom"/>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20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97"/>
              </w:rPr>
              <w:t>$0.001 per share</w:t>
            </w:r>
          </w:p>
        </w:tc>
        <w:tc>
          <w:tcPr>
            <w:tcW w:w="70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05"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20" w:firstLine="9"/>
        <w:spacing w:after="0" w:line="241" w:lineRule="auto"/>
        <w:tabs>
          <w:tab w:leader="none" w:pos="175" w:val="left"/>
        </w:tabs>
        <w:numPr>
          <w:ilvl w:val="0"/>
          <w:numId w:val="4"/>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In connection with the consummation by ExlService Holdings, Inc. (the "Company") of its initial public offering, the Company will effect a two for one stock split (the "Stock Split") of all of its outstanding shares of common stock. The amounts in this Form 3 reflect such Stock Split.</w:t>
      </w:r>
    </w:p>
    <w:p>
      <w:pPr>
        <w:spacing w:after="0" w:line="27" w:lineRule="exact"/>
        <w:rPr>
          <w:rFonts w:ascii="Times New Roman" w:cs="Times New Roman" w:eastAsia="Times New Roman" w:hAnsi="Times New Roman"/>
          <w:sz w:val="14"/>
          <w:szCs w:val="14"/>
          <w:color w:val="008000"/>
        </w:rPr>
      </w:pPr>
    </w:p>
    <w:p>
      <w:pPr>
        <w:ind w:left="40" w:right="500" w:firstLine="9"/>
        <w:spacing w:after="0" w:line="241" w:lineRule="auto"/>
        <w:tabs>
          <w:tab w:leader="none" w:pos="175" w:val="left"/>
        </w:tabs>
        <w:numPr>
          <w:ilvl w:val="0"/>
          <w:numId w:val="4"/>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2,934 shares of restricted stock will vest over a period of three years, with 978 shares vesting on each anniversary of the grant date, July 1, 2006. 2,136 shares of restricted stock will vest based on the Company's attainment of certain earnout and contingent payment targets for the historic business of Inductis, Inc. in 2006 and 2007.</w:t>
      </w:r>
    </w:p>
    <w:p>
      <w:pPr>
        <w:spacing w:after="0" w:line="27"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4"/>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Not applicable.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color w:val="008000"/>
        </w:rPr>
        <w:t>EXHIBIT LIST: Exhibit 24.1 -- Power of Attorney</w:t>
      </w:r>
    </w:p>
    <w:p>
      <w:pPr>
        <w:spacing w:after="0" w:line="50"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0000FF"/>
                <w:w w:val="96"/>
              </w:rPr>
              <w:t>/s/ Sandeep Tyagi</w:t>
            </w:r>
          </w:p>
        </w:tc>
        <w:tc>
          <w:tcPr>
            <w:tcW w:w="86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0000FF"/>
                <w:w w:val="95"/>
              </w:rPr>
              <w:t>10/19/2006</w:t>
            </w:r>
          </w:p>
        </w:tc>
      </w:tr>
      <w:tr>
        <w:trPr>
          <w:trHeight w:val="20"/>
        </w:trPr>
        <w:tc>
          <w:tcPr>
            <w:tcW w:w="126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8"/>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0" w:right="239" w:bottom="1440" w:gutter="0" w:footer="0" w:header="0"/>
          <w:type w:val="continuous"/>
        </w:sectPr>
      </w:pPr>
    </w:p>
    <w:bookmarkStart w:id="1" w:name="page2"/>
    <w:bookmarkEnd w:id="1"/>
    <w:p>
      <w:pPr>
        <w:jc w:val="right"/>
        <w:ind w:right="1879"/>
        <w:spacing w:after="0"/>
        <w:rPr>
          <w:sz w:val="20"/>
          <w:szCs w:val="20"/>
          <w:color w:val="auto"/>
        </w:rPr>
      </w:pPr>
      <w:r>
        <w:rPr>
          <w:rFonts w:ascii="Courier New" w:cs="Courier New" w:eastAsia="Courier New" w:hAnsi="Courier New"/>
          <w:sz w:val="18"/>
          <w:szCs w:val="18"/>
          <w:color w:val="auto"/>
        </w:rPr>
        <w:t>EXHIBIT 24.1</w:t>
      </w:r>
    </w:p>
    <w:p>
      <w:pPr>
        <w:spacing w:after="0" w:line="31" w:lineRule="exact"/>
        <w:rPr>
          <w:sz w:val="20"/>
          <w:szCs w:val="20"/>
          <w:color w:val="auto"/>
        </w:rPr>
      </w:pPr>
    </w:p>
    <w:p>
      <w:pPr>
        <w:ind w:left="7060"/>
        <w:spacing w:after="0"/>
        <w:rPr>
          <w:sz w:val="20"/>
          <w:szCs w:val="20"/>
          <w:color w:val="auto"/>
        </w:rPr>
      </w:pPr>
      <w:r>
        <w:rPr>
          <w:rFonts w:ascii="Courier New" w:cs="Courier New" w:eastAsia="Courier New" w:hAnsi="Courier New"/>
          <w:sz w:val="16"/>
          <w:szCs w:val="16"/>
          <w:color w:val="auto"/>
        </w:rPr>
        <w:t>------------</w:t>
      </w:r>
    </w:p>
    <w:p>
      <w:pPr>
        <w:spacing w:after="0" w:line="39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1879" w:firstLine="948"/>
        <w:spacing w:after="0" w:line="347"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the following officers of the Company:</w:t>
      </w:r>
    </w:p>
    <w:p>
      <w:pPr>
        <w:spacing w:after="0" w:line="18" w:lineRule="exact"/>
        <w:rPr>
          <w:sz w:val="20"/>
          <w:szCs w:val="20"/>
          <w:color w:val="auto"/>
        </w:rPr>
      </w:pPr>
    </w:p>
    <w:p>
      <w:pPr>
        <w:ind w:left="1380" w:hanging="424"/>
        <w:spacing w:after="0"/>
        <w:tabs>
          <w:tab w:leader="none" w:pos="13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Counsel,</w:t>
      </w:r>
    </w:p>
    <w:p>
      <w:pPr>
        <w:spacing w:after="0" w:line="201" w:lineRule="exact"/>
        <w:rPr>
          <w:rFonts w:ascii="Courier New" w:cs="Courier New" w:eastAsia="Courier New" w:hAnsi="Courier New"/>
          <w:sz w:val="18"/>
          <w:szCs w:val="18"/>
          <w:color w:val="auto"/>
        </w:rPr>
      </w:pPr>
    </w:p>
    <w:p>
      <w:pPr>
        <w:ind w:left="1480" w:hanging="524"/>
        <w:spacing w:after="0"/>
        <w:tabs>
          <w:tab w:leader="none" w:pos="14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Corporate Secretary,</w:t>
      </w:r>
    </w:p>
    <w:p>
      <w:pPr>
        <w:spacing w:after="0" w:line="201" w:lineRule="exact"/>
        <w:rPr>
          <w:rFonts w:ascii="Courier New" w:cs="Courier New" w:eastAsia="Courier New" w:hAnsi="Courier New"/>
          <w:sz w:val="18"/>
          <w:szCs w:val="18"/>
          <w:color w:val="auto"/>
        </w:rPr>
      </w:pPr>
    </w:p>
    <w:p>
      <w:pPr>
        <w:ind w:left="1580" w:hanging="624"/>
        <w:spacing w:after="0"/>
        <w:tabs>
          <w:tab w:leader="none" w:pos="15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Chief Financial Officer,</w:t>
      </w:r>
    </w:p>
    <w:p>
      <w:pPr>
        <w:spacing w:after="0" w:line="201" w:lineRule="exact"/>
        <w:rPr>
          <w:rFonts w:ascii="Courier New" w:cs="Courier New" w:eastAsia="Courier New" w:hAnsi="Courier New"/>
          <w:sz w:val="18"/>
          <w:szCs w:val="18"/>
          <w:color w:val="auto"/>
        </w:rPr>
      </w:pPr>
    </w:p>
    <w:p>
      <w:pPr>
        <w:ind w:left="1480" w:hanging="524"/>
        <w:spacing w:after="0"/>
        <w:tabs>
          <w:tab w:leader="none" w:pos="14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Chief Executive Officer,</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Head of Administration and Accounts, and</w:t>
      </w:r>
    </w:p>
    <w:p>
      <w:pPr>
        <w:spacing w:after="0" w:line="201" w:lineRule="exact"/>
        <w:rPr>
          <w:rFonts w:ascii="Courier New" w:cs="Courier New" w:eastAsia="Courier New" w:hAnsi="Courier New"/>
          <w:sz w:val="18"/>
          <w:szCs w:val="18"/>
          <w:color w:val="auto"/>
        </w:rPr>
      </w:pPr>
    </w:p>
    <w:p>
      <w:pPr>
        <w:ind w:left="1480" w:hanging="524"/>
        <w:spacing w:after="0"/>
        <w:tabs>
          <w:tab w:leader="none" w:pos="14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Head of Investor Relations,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signing singly, the undersigned's true and lawful attorney-in-fact to:</w:t>
      </w:r>
    </w:p>
    <w:p>
      <w:pPr>
        <w:spacing w:after="0" w:line="201" w:lineRule="exact"/>
        <w:rPr>
          <w:sz w:val="20"/>
          <w:szCs w:val="20"/>
          <w:color w:val="auto"/>
        </w:rPr>
      </w:pPr>
    </w:p>
    <w:p>
      <w:pPr>
        <w:jc w:val="both"/>
        <w:ind w:right="1879" w:firstLine="956"/>
        <w:spacing w:after="0" w:line="274" w:lineRule="auto"/>
        <w:tabs>
          <w:tab w:leader="none" w:pos="189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ExlService Holdings, Inc. (the "Company"), Forms 3, 4, and 5 in accordance with Section 16(a) of the Securities Exchange Act of 1934 and the rules thereunder;</w:t>
      </w:r>
    </w:p>
    <w:p>
      <w:pPr>
        <w:spacing w:after="0" w:line="81" w:lineRule="exact"/>
        <w:rPr>
          <w:rFonts w:ascii="Courier New" w:cs="Courier New" w:eastAsia="Courier New" w:hAnsi="Courier New"/>
          <w:sz w:val="18"/>
          <w:szCs w:val="18"/>
          <w:color w:val="auto"/>
        </w:rPr>
      </w:pPr>
    </w:p>
    <w:p>
      <w:pPr>
        <w:jc w:val="both"/>
        <w:ind w:right="1879" w:firstLine="956"/>
        <w:spacing w:after="0" w:line="265" w:lineRule="auto"/>
        <w:tabs>
          <w:tab w:leader="none" w:pos="189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w:t>
      </w:r>
    </w:p>
    <w:p>
      <w:pPr>
        <w:spacing w:after="0" w:line="89" w:lineRule="exact"/>
        <w:rPr>
          <w:rFonts w:ascii="Courier New" w:cs="Courier New" w:eastAsia="Courier New" w:hAnsi="Courier New"/>
          <w:sz w:val="18"/>
          <w:szCs w:val="18"/>
          <w:color w:val="auto"/>
        </w:rPr>
      </w:pPr>
    </w:p>
    <w:p>
      <w:pPr>
        <w:jc w:val="both"/>
        <w:ind w:right="1879" w:firstLine="956"/>
        <w:spacing w:after="0" w:line="256" w:lineRule="auto"/>
        <w:tabs>
          <w:tab w:leader="none" w:pos="189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98" w:lineRule="exact"/>
        <w:rPr>
          <w:sz w:val="20"/>
          <w:szCs w:val="20"/>
          <w:color w:val="auto"/>
        </w:rPr>
      </w:pPr>
    </w:p>
    <w:p>
      <w:pPr>
        <w:jc w:val="both"/>
        <w:ind w:right="1879" w:firstLine="948"/>
        <w:spacing w:after="0" w:line="247"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08" w:lineRule="exact"/>
        <w:rPr>
          <w:sz w:val="20"/>
          <w:szCs w:val="20"/>
          <w:color w:val="auto"/>
        </w:rPr>
      </w:pPr>
    </w:p>
    <w:p>
      <w:pPr>
        <w:jc w:val="both"/>
        <w:ind w:right="1879" w:firstLine="948"/>
        <w:spacing w:after="0" w:line="265"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90" w:lineRule="exact"/>
        <w:rPr>
          <w:sz w:val="20"/>
          <w:szCs w:val="20"/>
          <w:color w:val="auto"/>
        </w:rPr>
      </w:pPr>
    </w:p>
    <w:p>
      <w:pPr>
        <w:jc w:val="both"/>
        <w:ind w:right="1879" w:firstLine="948"/>
        <w:spacing w:after="0" w:line="347"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19th day of October, 2006</w:t>
      </w:r>
    </w:p>
    <w:p>
      <w:pPr>
        <w:spacing w:after="0" w:line="18"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/s/ Sandeep Tyagi</w:t>
      </w:r>
    </w:p>
    <w:p>
      <w:pPr>
        <w:spacing w:after="0" w:line="29"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16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Sandeep Tyagi</w:t>
      </w:r>
    </w:p>
    <w:p>
      <w:pPr>
        <w:spacing w:after="0" w:line="29"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ind w:left="3700"/>
        <w:spacing w:after="0"/>
        <w:rPr>
          <w:sz w:val="20"/>
          <w:szCs w:val="20"/>
          <w:color w:val="auto"/>
        </w:rPr>
      </w:pPr>
      <w:r>
        <w:rPr>
          <w:rFonts w:ascii="Courier New" w:cs="Courier New" w:eastAsia="Courier New" w:hAnsi="Courier New"/>
          <w:sz w:val="18"/>
          <w:szCs w:val="18"/>
          <w:color w:val="auto"/>
        </w:rPr>
        <w:t>Print Name</w:t>
      </w:r>
    </w:p>
    <w:sectPr>
      <w:pgSz w:w="11900" w:h="16838" w:orient="portrait"/>
      <w:cols w:equalWidth="0" w:num="1">
        <w:col w:w="10219"/>
      </w:cols>
      <w:pgMar w:left="24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4"/>
    </w:lvl>
  </w:abstractNum>
  <w:abstractNum w:abstractNumId="1">
    <w:nsid w:val="238E1F29"/>
    <w:multiLevelType w:val="hybridMultilevel"/>
    <w:lvl w:ilvl="0">
      <w:lvlJc w:val="left"/>
      <w:lvlText w:val="%1."/>
      <w:numFmt w:val="decimal"/>
      <w:start w:val="5"/>
    </w:lvl>
  </w:abstractNum>
  <w:abstractNum w:abstractNumId="2">
    <w:nsid w:val="46E87CCD"/>
    <w:multiLevelType w:val="hybridMultilevel"/>
    <w:lvl w:ilvl="0">
      <w:lvlJc w:val="left"/>
      <w:lvlText w:val="X"/>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lowerRoman"/>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371503" TargetMode="External"/><Relationship Id="rId12"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2019-12-16T15:33:35Z</dcterms:created>
  <dcterms:modified xsi:type="dcterms:W3CDTF">2019-12-16T15:33:35Z</dcterms:modified>
</cp:coreProperties>
</file>