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Bhalla Vikas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94"/>
        <w:spacing w:after="0"/>
        <w:rPr>
          <w:sz w:val="20"/>
          <w:szCs w:val="20"/>
          <w:color w:val="auto"/>
        </w:rPr>
      </w:pPr>
      <w:r>
        <w:rPr>
          <w:rFonts w:ascii="Arial" w:cs="Arial" w:eastAsia="Arial" w:hAnsi="Arial"/>
          <w:sz w:val="17"/>
          <w:szCs w:val="17"/>
          <w:color w:val="0000FF"/>
        </w:rPr>
        <w:t>EVP &amp; Head of Outsourcing.</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gridSpan w:val="2"/>
          </w:tcPr>
          <w:p>
            <w:pPr>
              <w:ind w:left="200"/>
              <w:spacing w:after="0"/>
              <w:rPr>
                <w:sz w:val="20"/>
                <w:szCs w:val="20"/>
                <w:color w:val="auto"/>
              </w:rPr>
            </w:pPr>
            <w:r>
              <w:rPr>
                <w:rFonts w:ascii="Arial" w:cs="Arial" w:eastAsia="Arial" w:hAnsi="Arial"/>
                <w:sz w:val="17"/>
                <w:szCs w:val="17"/>
                <w:color w:val="0000FF"/>
              </w:rPr>
              <w:t>02/22/2021</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680" w:type="dxa"/>
            <w:vAlign w:val="bottom"/>
          </w:tcPr>
          <w:p>
            <w:pPr>
              <w:ind w:left="260"/>
              <w:spacing w:after="0"/>
              <w:rPr>
                <w:sz w:val="20"/>
                <w:szCs w:val="20"/>
                <w:color w:val="auto"/>
              </w:rPr>
            </w:pPr>
            <w:r>
              <w:rPr>
                <w:rFonts w:ascii="Arial" w:cs="Arial" w:eastAsia="Arial" w:hAnsi="Arial"/>
                <w:sz w:val="17"/>
                <w:szCs w:val="17"/>
                <w:color w:val="0000FF"/>
                <w:w w:val="93"/>
              </w:rPr>
              <w:t>1,664</w:t>
            </w:r>
          </w:p>
        </w:tc>
        <w:tc>
          <w:tcPr>
            <w:tcW w:w="680" w:type="dxa"/>
            <w:vAlign w:val="bottom"/>
          </w:tcPr>
          <w:p>
            <w:pPr>
              <w:jc w:val="right"/>
              <w:ind w:right="136"/>
              <w:spacing w:after="0"/>
              <w:rPr>
                <w:sz w:val="20"/>
                <w:szCs w:val="20"/>
                <w:color w:val="auto"/>
              </w:rPr>
            </w:pPr>
            <w:r>
              <w:rPr>
                <w:rFonts w:ascii="Arial" w:cs="Arial" w:eastAsia="Arial" w:hAnsi="Arial"/>
                <w:sz w:val="17"/>
                <w:szCs w:val="17"/>
                <w:color w:val="0000FF"/>
              </w:rPr>
              <w:t>A</w:t>
            </w:r>
          </w:p>
        </w:tc>
        <w:tc>
          <w:tcPr>
            <w:tcW w:w="520" w:type="dxa"/>
            <w:vAlign w:val="bottom"/>
          </w:tcPr>
          <w:p>
            <w:pPr>
              <w:ind w:left="28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13,563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02/22/2021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F</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712</w:t>
            </w:r>
          </w:p>
        </w:tc>
        <w:tc>
          <w:tcPr>
            <w:tcW w:w="680" w:type="dxa"/>
            <w:vAlign w:val="bottom"/>
            <w:tcBorders>
              <w:bottom w:val="single" w:sz="8" w:color="2C2C2C"/>
            </w:tcBorders>
          </w:tcPr>
          <w:p>
            <w:pPr>
              <w:jc w:val="right"/>
              <w:ind w:right="13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80.55</w:t>
            </w:r>
            <w:r>
              <w:rPr>
                <w:rFonts w:ascii="Arial" w:cs="Arial" w:eastAsia="Arial" w:hAnsi="Arial"/>
                <w:sz w:val="21"/>
                <w:szCs w:val="21"/>
                <w:color w:val="008000"/>
                <w:w w:val="92"/>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12,851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8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1,664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02/22/2021</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1,664</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ind w:left="340"/>
              <w:spacing w:after="0" w:line="143" w:lineRule="exact"/>
              <w:rPr>
                <w:sz w:val="20"/>
                <w:szCs w:val="20"/>
                <w:color w:val="auto"/>
              </w:rPr>
            </w:pPr>
            <w:r>
              <w:rPr>
                <w:rFonts w:ascii="Arial" w:cs="Arial" w:eastAsia="Arial" w:hAnsi="Arial"/>
                <w:sz w:val="13"/>
                <w:szCs w:val="13"/>
                <w:color w:val="0000FF"/>
                <w:w w:val="92"/>
              </w:rPr>
              <w:t>1,664</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-2244090</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22,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6,655 restricted stock units, vesting in four annual installments beginning on the first anniversary of the grant date. 25 percent of the restricted stock units became vested on February 22, 2019, an additional twenty-five percent of the restricted stock units became vested on February 22, 2020, an additional twenty-five percent of the restricted stock units became vested on February 22, 2021; and the remaining balance of twenty-five percent of the restricted stock units will vest on February 22,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2021-02-24T16:41:30Z</dcterms:created>
  <dcterms:modified xsi:type="dcterms:W3CDTF">2021-02-24T16:41:30Z</dcterms:modified>
</cp:coreProperties>
</file>