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68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682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STAGLIN GAREN K</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vMerge w:val="restart"/>
          </w:tcPr>
          <w:p>
            <w:pPr>
              <w:spacing w:after="0"/>
              <w:rPr>
                <w:sz w:val="20"/>
                <w:szCs w:val="20"/>
                <w:color w:val="auto"/>
              </w:rPr>
            </w:pPr>
            <w:r>
              <w:rPr>
                <w:rFonts w:ascii="Arial" w:cs="Arial" w:eastAsia="Arial" w:hAnsi="Arial"/>
                <w:sz w:val="18"/>
                <w:szCs w:val="18"/>
                <w:color w:val="0000FF"/>
              </w:rPr>
              <w:t>C/O EXLSERVICE HOLDINGS, INC.</w:t>
            </w: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02/05/2014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280 PARK AVENUE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40" w:type="dxa"/>
            <w:vAlign w:val="bottom"/>
            <w:gridSpan w:val="9"/>
            <w:vMerge w:val="continue"/>
          </w:tcPr>
          <w:p>
            <w:pPr>
              <w:spacing w:after="0"/>
              <w:rPr>
                <w:sz w:val="7"/>
                <w:szCs w:val="7"/>
                <w:color w:val="auto"/>
              </w:rPr>
            </w:pPr>
          </w:p>
        </w:tc>
        <w:tc>
          <w:tcPr>
            <w:tcW w:w="260" w:type="dxa"/>
            <w:vAlign w:val="bottom"/>
          </w:tcPr>
          <w:p>
            <w:pPr>
              <w:spacing w:after="0"/>
              <w:rPr>
                <w:sz w:val="7"/>
                <w:szCs w:val="7"/>
                <w:color w:val="auto"/>
              </w:rPr>
            </w:pPr>
          </w:p>
        </w:tc>
        <w:tc>
          <w:tcPr>
            <w:tcW w:w="35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40" w:type="dxa"/>
            <w:vAlign w:val="bottom"/>
            <w:gridSpan w:val="4"/>
            <w:vMerge w:val="restart"/>
          </w:tcPr>
          <w:p>
            <w:pPr>
              <w:ind w:left="160"/>
              <w:spacing w:after="0" w:line="189" w:lineRule="exact"/>
              <w:rPr>
                <w:sz w:val="20"/>
                <w:szCs w:val="20"/>
                <w:color w:val="auto"/>
              </w:rPr>
            </w:pPr>
            <w:r>
              <w:rPr>
                <w:rFonts w:ascii="Arial" w:cs="Arial" w:eastAsia="Arial" w:hAnsi="Arial"/>
                <w:sz w:val="18"/>
                <w:szCs w:val="18"/>
                <w:color w:val="0000FF"/>
              </w:rPr>
              <w:t>02/07/2014</w:t>
            </w: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60" w:type="dxa"/>
            <w:vAlign w:val="bottom"/>
            <w:gridSpan w:val="9"/>
          </w:tcPr>
          <w:p>
            <w:pPr>
              <w:spacing w:after="0" w:line="189"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3"/>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020" w:type="dxa"/>
            <w:vAlign w:val="bottom"/>
            <w:tcBorders>
              <w:top w:val="single" w:sz="8" w:color="2C2C2C"/>
            </w:tcBorders>
            <w:gridSpan w:val="18"/>
          </w:tcPr>
          <w:p>
            <w:pPr>
              <w:ind w:left="3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40" w:type="dxa"/>
            <w:vAlign w:val="bottom"/>
            <w:gridSpan w:val="5"/>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jc w:val="right"/>
              <w:ind w:right="36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V</w:t>
            </w: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820" w:type="dxa"/>
            <w:vAlign w:val="bottom"/>
            <w:gridSpan w:val="7"/>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ind w:left="400"/>
              <w:spacing w:after="0"/>
              <w:rPr>
                <w:sz w:val="20"/>
                <w:szCs w:val="20"/>
                <w:color w:val="auto"/>
              </w:rPr>
            </w:pPr>
            <w:r>
              <w:rPr>
                <w:rFonts w:ascii="Arial" w:cs="Arial" w:eastAsia="Arial" w:hAnsi="Arial"/>
                <w:sz w:val="18"/>
                <w:szCs w:val="18"/>
                <w:color w:val="0000FF"/>
              </w:rPr>
              <w:t>5,000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5"/>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196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020" w:type="dxa"/>
            <w:vAlign w:val="bottom"/>
            <w:tcBorders>
              <w:top w:val="single" w:sz="8" w:color="2C2C2C"/>
            </w:tcBorders>
            <w:gridSpan w:val="18"/>
          </w:tcPr>
          <w:p>
            <w:pPr>
              <w:ind w:left="5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12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008000"/>
              </w:rPr>
              <w:t>(1)(2)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vMerge w:val="restart"/>
          </w:tcPr>
          <w:p>
            <w:pPr>
              <w:jc w:val="right"/>
              <w:ind w:right="240"/>
              <w:spacing w:after="0"/>
              <w:rPr>
                <w:sz w:val="20"/>
                <w:szCs w:val="20"/>
                <w:color w:val="auto"/>
              </w:rPr>
            </w:pPr>
            <w:r>
              <w:rPr>
                <w:rFonts w:ascii="Arial" w:cs="Arial" w:eastAsia="Arial" w:hAnsi="Arial"/>
                <w:sz w:val="11"/>
                <w:szCs w:val="11"/>
                <w:color w:val="008000"/>
                <w:w w:val="89"/>
              </w:rPr>
              <w:t>(1)(2)</w:t>
            </w:r>
          </w:p>
        </w:tc>
        <w:tc>
          <w:tcPr>
            <w:tcW w:w="660" w:type="dxa"/>
            <w:vAlign w:val="bottom"/>
          </w:tcPr>
          <w:p>
            <w:pPr>
              <w:ind w:left="100"/>
              <w:spacing w:after="0" w:line="149" w:lineRule="exact"/>
              <w:rPr>
                <w:sz w:val="20"/>
                <w:szCs w:val="20"/>
                <w:color w:val="auto"/>
              </w:rPr>
            </w:pPr>
            <w:r>
              <w:rPr>
                <w:rFonts w:ascii="Arial" w:cs="Arial" w:eastAsia="Arial" w:hAnsi="Arial"/>
                <w:sz w:val="14"/>
                <w:szCs w:val="14"/>
                <w:color w:val="0000FF"/>
              </w:rPr>
              <w:t>Stock,</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4,016</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02/05/2014</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4,016</w:t>
            </w:r>
          </w:p>
        </w:tc>
        <w:tc>
          <w:tcPr>
            <w:tcW w:w="3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2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36,016</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rPr>
              <w:t>$0.001</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February 5, 2015, (ii) the end of the reporting person's term on the Board of Directors of ExlService Holdings, Inc. (the "Board") if such person is not subsequently elected to a new term on the Board and (iii) the occurrence of a "Change in Control," as such term is defined in the ExlService Holdings, Inc. 2006 Omnibus Award Plan (the "2006 Plan"), and such awards settle upon the earlier of (i) the reporting person's death, (ii) the occurrence of a "Change of Control," as such term is defined in the 2006 Plan, and (iii) 180 days following the end of the reporting person's term on the Board.</w:t>
      </w:r>
    </w:p>
    <w:p>
      <w:pPr>
        <w:spacing w:after="0" w:line="31"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award of the 4,016 shares of restricted stock on February 5, 2014 was originally reported on February 7, 2014. This amendment is being filed to correct a typographical error which originally stated in footnote 1 above that the restricted stock could possibly vest on "February 5, 2014" as opposed to "February 5, 2015."</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02/18/2014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2019-12-16T15:17:02Z</dcterms:created>
  <dcterms:modified xsi:type="dcterms:W3CDTF">2019-12-16T15:17:02Z</dcterms:modified>
</cp:coreProperties>
</file>