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31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31456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Mahon Anita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30"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34"/>
        <w:spacing w:after="0"/>
        <w:rPr>
          <w:sz w:val="20"/>
          <w:szCs w:val="20"/>
          <w:color w:val="auto"/>
        </w:rPr>
      </w:pPr>
      <w:r>
        <w:rPr>
          <w:rFonts w:ascii="Times New Roman" w:cs="Times New Roman" w:eastAsia="Times New Roman" w:hAnsi="Times New Roman"/>
          <w:sz w:val="17"/>
          <w:szCs w:val="17"/>
          <w:color w:val="0000FF"/>
        </w:rPr>
        <w:t>EVP &amp; Business Head Healthcare</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5,900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110,901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3,018</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107,883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3,300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111,183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1,688</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109,495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3,230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112,725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1,653</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111,072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3,230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3,230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6,460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3,300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3,300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3,300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5,900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5,900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2,584 (pre-split) restricted stock units, vesting in four equal annual installments beginning on the first anniversary of the grant date. 25 percent of the restricted stock units became vested on February 15, 2024, an additional 25 percent of the restricted stock units became vested on February 15, 2025, an additional 25 percent of the restricted stock units will vest on February 15, 2026, and the remaining balance of 25 of the restricted stock units will vest on February 15, 2027.</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2,640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became vested on February 16, 2025, and the remaining balance of 25 of the restricted stock units will vest on February 16, 2026.</w:t>
      </w:r>
    </w:p>
    <w:p>
      <w:pPr>
        <w:spacing w:after="0" w:line="2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4,720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became vested on February 17, 2024, and the remaining balance of 25 percent of the restricted stock units became vested on February 17, 2025.</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02/20/2025</w:t>
            </w: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528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2025-02-20T17:05:51Z</dcterms:created>
  <dcterms:modified xsi:type="dcterms:W3CDTF">2025-02-20T17:05:51Z</dcterms:modified>
</cp:coreProperties>
</file>