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38" w:lineRule="auto"/>
        <w:rPr>
          <w:sz w:val="20"/>
          <w:szCs w:val="20"/>
          <w:color w:val="auto"/>
        </w:rPr>
      </w:pPr>
      <w:r>
        <w:rPr>
          <w:rFonts w:ascii="Courier New" w:cs="Courier New" w:eastAsia="Courier New" w:hAnsi="Courier New"/>
          <w:sz w:val="18"/>
          <w:szCs w:val="18"/>
          <w:color w:val="auto"/>
        </w:rPr>
        <w:t>EXLSERVICE HOLDINGS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#302081104</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#302081104</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2580" w:type="dxa"/>
            <w:vAlign w:val="bottom"/>
          </w:tcPr>
          <w:p>
            <w:pPr>
              <w:ind w:left="100"/>
              <w:spacing w:after="0"/>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1,596,822</w:t>
            </w: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4,222,096</w:t>
            </w: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4,222,096</w:t>
            </w: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12.761%</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#302081104</w:t>
            </w:r>
          </w:p>
        </w:tc>
        <w:tc>
          <w:tcPr>
            <w:tcW w:w="8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4,222,096</w:t>
            </w: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4,222,096</w:t>
            </w: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12.761%</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80" w:type="dxa"/>
            <w:vAlign w:val="bottom"/>
          </w:tcPr>
          <w:p>
            <w:pPr>
              <w:ind w:left="100"/>
              <w:spacing w:after="0"/>
              <w:rPr>
                <w:sz w:val="20"/>
                <w:szCs w:val="20"/>
                <w:color w:val="auto"/>
              </w:rPr>
            </w:pPr>
            <w:r>
              <w:rPr>
                <w:rFonts w:ascii="Courier New" w:cs="Courier New" w:eastAsia="Courier New" w:hAnsi="Courier New"/>
                <w:sz w:val="18"/>
                <w:szCs w:val="18"/>
                <w:color w:val="auto"/>
                <w:w w:val="99"/>
              </w:rPr>
              <w:t>EXLSERVICE HOLDINGS INC</w:t>
            </w:r>
          </w:p>
        </w:tc>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80" w:type="dxa"/>
            <w:vAlign w:val="bottom"/>
          </w:tcPr>
          <w:p>
            <w:pPr>
              <w:ind w:left="100"/>
              <w:spacing w:after="0"/>
              <w:rPr>
                <w:sz w:val="20"/>
                <w:szCs w:val="20"/>
                <w:color w:val="auto"/>
              </w:rPr>
            </w:pPr>
            <w:r>
              <w:rPr>
                <w:rFonts w:ascii="Courier New" w:cs="Courier New" w:eastAsia="Courier New" w:hAnsi="Courier New"/>
                <w:sz w:val="18"/>
                <w:szCs w:val="18"/>
                <w:color w:val="auto"/>
              </w:rPr>
              <w:t>280 Park Avenue</w:t>
            </w:r>
          </w:p>
        </w:tc>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38th Floor</w:t>
            </w:r>
          </w:p>
        </w:tc>
        <w:tc>
          <w:tcPr>
            <w:tcW w:w="8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New York X1, NY 10017</w:t>
            </w: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USA</w:t>
            </w: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3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80" w:type="dxa"/>
            <w:vAlign w:val="bottom"/>
          </w:tcPr>
          <w:p>
            <w:pPr>
              <w:ind w:left="200"/>
              <w:spacing w:after="0"/>
              <w:rPr>
                <w:sz w:val="20"/>
                <w:szCs w:val="20"/>
                <w:color w:val="auto"/>
              </w:rPr>
            </w:pPr>
            <w:r>
              <w:rPr>
                <w:rFonts w:ascii="Courier New" w:cs="Courier New" w:eastAsia="Courier New" w:hAnsi="Courier New"/>
                <w:sz w:val="18"/>
                <w:szCs w:val="18"/>
                <w:color w:val="auto"/>
              </w:rPr>
              <w:t>FMR LLC</w:t>
            </w:r>
          </w:p>
        </w:tc>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8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8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3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80" w:type="dxa"/>
            <w:vAlign w:val="bottom"/>
          </w:tcPr>
          <w:p>
            <w:pPr>
              <w:ind w:left="200"/>
              <w:spacing w:after="0"/>
              <w:rPr>
                <w:sz w:val="20"/>
                <w:szCs w:val="20"/>
                <w:color w:val="auto"/>
              </w:rPr>
            </w:pPr>
            <w:r>
              <w:rPr>
                <w:rFonts w:ascii="Courier New" w:cs="Courier New" w:eastAsia="Courier New" w:hAnsi="Courier New"/>
                <w:sz w:val="18"/>
                <w:szCs w:val="18"/>
                <w:color w:val="auto"/>
              </w:rPr>
              <w:t>Not applicable</w:t>
            </w:r>
          </w:p>
        </w:tc>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3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80" w:type="dxa"/>
            <w:vAlign w:val="bottom"/>
          </w:tcPr>
          <w:p>
            <w:pPr>
              <w:ind w:left="200"/>
              <w:spacing w:after="0"/>
              <w:rPr>
                <w:sz w:val="20"/>
                <w:szCs w:val="20"/>
                <w:color w:val="auto"/>
              </w:rPr>
            </w:pPr>
            <w:r>
              <w:rPr>
                <w:rFonts w:ascii="Courier New" w:cs="Courier New" w:eastAsia="Courier New" w:hAnsi="Courier New"/>
                <w:sz w:val="18"/>
                <w:szCs w:val="18"/>
                <w:color w:val="auto"/>
              </w:rPr>
              <w:t>COMMON STOCK</w:t>
            </w:r>
          </w:p>
        </w:tc>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3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80" w:type="dxa"/>
            <w:vAlign w:val="bottom"/>
          </w:tcPr>
          <w:p>
            <w:pPr>
              <w:ind w:left="200"/>
              <w:spacing w:after="0"/>
              <w:rPr>
                <w:sz w:val="20"/>
                <w:szCs w:val="20"/>
                <w:color w:val="auto"/>
              </w:rPr>
            </w:pPr>
            <w:r>
              <w:rPr>
                <w:rFonts w:ascii="Courier New" w:cs="Courier New" w:eastAsia="Courier New" w:hAnsi="Courier New"/>
                <w:sz w:val="18"/>
                <w:szCs w:val="18"/>
                <w:color w:val="auto"/>
              </w:rPr>
              <w:t>302081104</w:t>
            </w:r>
          </w:p>
        </w:tc>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8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is a parent holding company in accordance with</w:t>
            </w:r>
          </w:p>
        </w:tc>
      </w:tr>
      <w:tr>
        <w:trPr>
          <w:trHeight w:val="203"/>
        </w:trPr>
        <w:tc>
          <w:tcPr>
            <w:tcW w:w="67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420" w:type="dxa"/>
            <w:vAlign w:val="bottom"/>
            <w:gridSpan w:val="2"/>
          </w:tcPr>
          <w:p>
            <w:pPr>
              <w:spacing w:after="0"/>
              <w:rPr>
                <w:sz w:val="20"/>
                <w:szCs w:val="20"/>
                <w:color w:val="auto"/>
              </w:rPr>
            </w:pPr>
            <w:r>
              <w:rPr>
                <w:rFonts w:ascii="Courier New" w:cs="Courier New" w:eastAsia="Courier New" w:hAnsi="Courier New"/>
                <w:sz w:val="18"/>
                <w:szCs w:val="18"/>
                <w:color w:val="auto"/>
              </w:rPr>
              <w:t>Amount Beneficially Owned:</w:t>
            </w:r>
          </w:p>
        </w:tc>
        <w:tc>
          <w:tcPr>
            <w:tcW w:w="226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4,222,096</w:t>
            </w: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580" w:type="dxa"/>
            <w:vAlign w:val="bottom"/>
          </w:tcPr>
          <w:p>
            <w:pPr>
              <w:spacing w:after="0"/>
              <w:rPr>
                <w:sz w:val="20"/>
                <w:szCs w:val="20"/>
                <w:color w:val="auto"/>
              </w:rPr>
            </w:pPr>
            <w:r>
              <w:rPr>
                <w:rFonts w:ascii="Courier New" w:cs="Courier New" w:eastAsia="Courier New" w:hAnsi="Courier New"/>
                <w:sz w:val="18"/>
                <w:szCs w:val="18"/>
                <w:color w:val="auto"/>
              </w:rPr>
              <w:t>Percent of Class: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12.761%</w:t>
            </w: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(c)</w:t>
            </w:r>
          </w:p>
        </w:tc>
        <w:tc>
          <w:tcPr>
            <w:tcW w:w="5680" w:type="dxa"/>
            <w:vAlign w:val="bottom"/>
            <w:gridSpan w:val="3"/>
          </w:tcPr>
          <w:p>
            <w:pPr>
              <w:spacing w:after="0"/>
              <w:rPr>
                <w:sz w:val="20"/>
                <w:szCs w:val="20"/>
                <w:color w:val="auto"/>
              </w:rPr>
            </w:pPr>
            <w:r>
              <w:rPr>
                <w:rFonts w:ascii="Courier New" w:cs="Courier New" w:eastAsia="Courier New" w:hAnsi="Courier New"/>
                <w:sz w:val="18"/>
                <w:szCs w:val="18"/>
                <w:color w:val="auto"/>
              </w:rPr>
              <w:t>Number of shares as to which such person has:</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sole power to</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vote or to</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direct the vote:</w:t>
            </w:r>
          </w:p>
        </w:tc>
        <w:tc>
          <w:tcPr>
            <w:tcW w:w="42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1,596,822</w:t>
            </w: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50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4,222,096</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33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Not applicable.</w:t>
            </w:r>
          </w:p>
        </w:tc>
        <w:tc>
          <w:tcPr>
            <w:tcW w:w="1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3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EXLSERVICE HOLDINGS INC. No one other person's interest in the COMMON STOCK of EXLSERVICE HOLDINGS INC is more than five percent of the total outstanding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12, 2016</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Form 4 filed by FMR LLC on November 25, 2015, accession number: 0000315066-15-003312</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tabs>
          <w:tab w:leader="none" w:pos="840" w:val="left"/>
        </w:tabs>
        <w:rPr>
          <w:sz w:val="20"/>
          <w:szCs w:val="20"/>
          <w:color w:val="auto"/>
        </w:rPr>
      </w:pPr>
      <w:r>
        <w:rPr>
          <w:rFonts w:ascii="Courier New" w:cs="Courier New" w:eastAsia="Courier New" w:hAnsi="Courier New"/>
          <w:sz w:val="18"/>
          <w:szCs w:val="18"/>
          <w:color w:val="auto"/>
        </w:rPr>
        <w:t>Entity</w:t>
        <w:tab/>
        <w:t>ITEM 3 Classification</w:t>
      </w:r>
    </w:p>
    <w:p>
      <w:pPr>
        <w:spacing w:after="0"/>
        <w:tabs>
          <w:tab w:leader="none" w:pos="6740" w:val="left"/>
        </w:tabs>
        <w:rPr>
          <w:sz w:val="20"/>
          <w:szCs w:val="20"/>
          <w:color w:val="auto"/>
        </w:rPr>
      </w:pPr>
      <w:r>
        <w:rPr>
          <w:rFonts w:ascii="Courier New" w:cs="Courier New" w:eastAsia="Courier New" w:hAnsi="Courier New"/>
          <w:sz w:val="18"/>
          <w:szCs w:val="18"/>
          <w:color w:val="auto"/>
        </w:rPr>
        <w:t>FIAM LLC (formerly known as PYRAMIS GLOBAL ADVISORS, LLC)</w:t>
      </w:r>
      <w:r>
        <w:rPr>
          <w:sz w:val="20"/>
          <w:szCs w:val="20"/>
          <w:color w:val="auto"/>
        </w:rPr>
        <w:tab/>
      </w:r>
      <w:r>
        <w:rPr>
          <w:rFonts w:ascii="Courier New" w:cs="Courier New" w:eastAsia="Courier New" w:hAnsi="Courier New"/>
          <w:sz w:val="16"/>
          <w:szCs w:val="16"/>
          <w:color w:val="auto"/>
        </w:rPr>
        <w:t>IA</w:t>
      </w:r>
    </w:p>
    <w:p>
      <w:pPr>
        <w:spacing w:after="0"/>
        <w:rPr>
          <w:sz w:val="20"/>
          <w:szCs w:val="20"/>
          <w:color w:val="auto"/>
        </w:rPr>
      </w:pPr>
      <w:r>
        <w:rPr>
          <w:rFonts w:ascii="Courier New" w:cs="Courier New" w:eastAsia="Courier New" w:hAnsi="Courier New"/>
          <w:sz w:val="18"/>
          <w:szCs w:val="18"/>
          <w:color w:val="auto"/>
        </w:rPr>
        <w:t>FIDELITY INSTITUTIONAL ASSET MANAGEMENT TRUST COMPANY (formerly known as</w:t>
      </w:r>
    </w:p>
    <w:p>
      <w:pPr>
        <w:ind w:left="860"/>
        <w:spacing w:after="0" w:line="237" w:lineRule="auto"/>
        <w:tabs>
          <w:tab w:leader="none" w:pos="5040" w:val="left"/>
        </w:tabs>
        <w:rPr>
          <w:sz w:val="20"/>
          <w:szCs w:val="20"/>
          <w:color w:val="auto"/>
        </w:rPr>
      </w:pPr>
      <w:r>
        <w:rPr>
          <w:rFonts w:ascii="Courier New" w:cs="Courier New" w:eastAsia="Courier New" w:hAnsi="Courier New"/>
          <w:sz w:val="18"/>
          <w:szCs w:val="18"/>
          <w:color w:val="auto"/>
        </w:rPr>
        <w:t>PYRAMIS GLOBAL ADVISORS TRUST COMPANY)</w:t>
        <w:tab/>
        <w:t>BK</w:t>
      </w:r>
    </w:p>
    <w:p>
      <w:pPr>
        <w:spacing w:after="0"/>
        <w:tabs>
          <w:tab w:leader="none" w:pos="1680" w:val="left"/>
        </w:tabs>
        <w:rPr>
          <w:sz w:val="20"/>
          <w:szCs w:val="20"/>
          <w:color w:val="auto"/>
        </w:rPr>
      </w:pPr>
      <w:r>
        <w:rPr>
          <w:rFonts w:ascii="Courier New" w:cs="Courier New" w:eastAsia="Courier New" w:hAnsi="Courier New"/>
          <w:sz w:val="18"/>
          <w:szCs w:val="18"/>
          <w:color w:val="auto"/>
        </w:rPr>
        <w:t>FMR CO., INC *</w:t>
      </w:r>
      <w:r>
        <w:rPr>
          <w:sz w:val="20"/>
          <w:szCs w:val="20"/>
          <w:color w:val="auto"/>
        </w:rPr>
        <w:tab/>
      </w:r>
      <w:r>
        <w:rPr>
          <w:rFonts w:ascii="Courier New" w:cs="Courier New" w:eastAsia="Courier New" w:hAnsi="Courier New"/>
          <w:sz w:val="16"/>
          <w:szCs w:val="16"/>
          <w:color w:val="auto"/>
        </w:rPr>
        <w:t>IA</w:t>
      </w:r>
    </w:p>
    <w:p>
      <w:pPr>
        <w:spacing w:after="0"/>
        <w:tabs>
          <w:tab w:leader="none" w:pos="3360" w:val="left"/>
        </w:tabs>
        <w:rPr>
          <w:sz w:val="20"/>
          <w:szCs w:val="20"/>
          <w:color w:val="auto"/>
        </w:rPr>
      </w:pPr>
      <w:r>
        <w:rPr>
          <w:rFonts w:ascii="Courier New" w:cs="Courier New" w:eastAsia="Courier New" w:hAnsi="Courier New"/>
          <w:sz w:val="18"/>
          <w:szCs w:val="18"/>
          <w:color w:val="auto"/>
        </w:rPr>
        <w:t>STRATEGIC ADVISERS, INC.</w:t>
      </w:r>
      <w:r>
        <w:rPr>
          <w:sz w:val="20"/>
          <w:szCs w:val="20"/>
          <w:color w:val="auto"/>
        </w:rPr>
        <w:tab/>
      </w:r>
      <w:r>
        <w:rPr>
          <w:rFonts w:ascii="Courier New" w:cs="Courier New" w:eastAsia="Courier New" w:hAnsi="Courier New"/>
          <w:sz w:val="18"/>
          <w:szCs w:val="18"/>
          <w:color w:val="auto"/>
        </w:rPr>
        <w:t>IA</w:t>
      </w:r>
    </w:p>
    <w:p>
      <w:pPr>
        <w:spacing w:after="0" w:line="200" w:lineRule="exact"/>
        <w:rPr>
          <w:sz w:val="20"/>
          <w:szCs w:val="20"/>
          <w:color w:val="auto"/>
        </w:rPr>
      </w:pPr>
    </w:p>
    <w:p>
      <w:pPr>
        <w:spacing w:after="0" w:line="209" w:lineRule="exact"/>
        <w:rPr>
          <w:sz w:val="20"/>
          <w:szCs w:val="20"/>
          <w:color w:val="auto"/>
        </w:rPr>
      </w:pPr>
    </w:p>
    <w:p>
      <w:pPr>
        <w:ind w:right="251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61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Vice Chairman, the Chief Executive Officer and the President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6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12, 2016, agree and consent to the joint filing on their behalf of this Schedule 13G in connection with their beneficial ownership of the COMMON STOCK of EXLSERVICE HOLDINGS INC at December 31, 2015.</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31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October 12, 2015,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419" w:firstLine="8"/>
        <w:spacing w:after="0" w:line="236"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Form 4 filed by FMR LLC on November 25, 2015, accession number: 0000315066-15-003312</w:t>
      </w:r>
    </w:p>
    <w:p>
      <w:pPr>
        <w:sectPr>
          <w:pgSz w:w="11900" w:h="16838" w:orient="portrait"/>
          <w:cols w:equalWidth="0" w:num="1">
            <w:col w:w="10219"/>
          </w:cols>
          <w:pgMar w:left="240" w:top="339" w:right="1440" w:bottom="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2019-12-08T02:31:17Z</dcterms:created>
  <dcterms:modified xsi:type="dcterms:W3CDTF">2019-12-08T02:31:17Z</dcterms:modified>
</cp:coreProperties>
</file>