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628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877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7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Villa Rembert</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02/13/2014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4"/>
        <w:spacing w:after="0"/>
        <w:rPr>
          <w:sz w:val="20"/>
          <w:szCs w:val="20"/>
          <w:color w:val="auto"/>
        </w:rPr>
      </w:pPr>
      <w:r>
        <w:rPr>
          <w:rFonts w:ascii="Arial" w:cs="Arial" w:eastAsia="Arial" w:hAnsi="Arial"/>
          <w:sz w:val="17"/>
          <w:szCs w:val="17"/>
          <w:color w:val="0000FF"/>
        </w:rPr>
        <w:t>EVP, Head of Ins. &amp; CSO.</w:t>
      </w:r>
    </w:p>
    <w:p>
      <w:pPr>
        <w:spacing w:after="0" w:line="331" w:lineRule="exact"/>
        <w:rPr>
          <w:sz w:val="24"/>
          <w:szCs w:val="24"/>
          <w:color w:val="auto"/>
        </w:rPr>
      </w:pPr>
    </w:p>
    <w:p>
      <w:pPr>
        <w:sectPr>
          <w:pgSz w:w="11900" w:h="16838" w:orient="portrait"/>
          <w:cols w:equalWidth="0" w:num="3">
            <w:col w:w="3340" w:space="720"/>
            <w:col w:w="3256" w:space="720"/>
            <w:col w:w="3484"/>
          </w:cols>
          <w:pgMar w:left="240" w:top="225" w:right="139" w:bottom="733"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60" w:type="dxa"/>
            <w:vAlign w:val="bottom"/>
          </w:tcPr>
          <w:p>
            <w:pPr>
              <w:ind w:left="42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7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right"/>
              <w:ind w:right="338"/>
              <w:spacing w:after="0"/>
              <w:rPr>
                <w:sz w:val="20"/>
                <w:szCs w:val="20"/>
                <w:color w:val="auto"/>
              </w:rPr>
            </w:pPr>
            <w:r>
              <w:rPr>
                <w:rFonts w:ascii="Arial" w:cs="Arial" w:eastAsia="Arial" w:hAnsi="Arial"/>
                <w:sz w:val="17"/>
                <w:szCs w:val="17"/>
                <w:color w:val="0000FF"/>
              </w:rPr>
              <w:t>13,386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2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jc w:val="center"/>
              <w:ind w:right="11"/>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jc w:val="center"/>
              <w:ind w:right="11"/>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2,201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6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80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2,201</w:t>
            </w:r>
          </w:p>
        </w:tc>
        <w:tc>
          <w:tcPr>
            <w:tcW w:w="860" w:type="dxa"/>
            <w:vAlign w:val="bottom"/>
            <w:gridSpan w:val="2"/>
            <w:vMerge w:val="continue"/>
          </w:tcPr>
          <w:p>
            <w:pPr>
              <w:spacing w:after="0"/>
              <w:rPr>
                <w:sz w:val="5"/>
                <w:szCs w:val="5"/>
                <w:color w:val="auto"/>
              </w:rPr>
            </w:pPr>
          </w:p>
        </w:tc>
        <w:tc>
          <w:tcPr>
            <w:tcW w:w="680" w:type="dxa"/>
            <w:vAlign w:val="bottom"/>
            <w:vMerge w:val="restart"/>
          </w:tcPr>
          <w:p>
            <w:pPr>
              <w:spacing w:after="0" w:line="148"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line="148" w:lineRule="exact"/>
              <w:rPr>
                <w:sz w:val="20"/>
                <w:szCs w:val="20"/>
                <w:color w:val="auto"/>
              </w:rPr>
            </w:pPr>
            <w:r>
              <w:rPr>
                <w:rFonts w:ascii="Arial" w:cs="Arial" w:eastAsia="Arial" w:hAnsi="Arial"/>
                <w:sz w:val="13"/>
                <w:szCs w:val="13"/>
                <w:color w:val="0000FF"/>
                <w:w w:val="92"/>
              </w:rPr>
              <w:t>2,201</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5,000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6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80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5,000</w:t>
            </w:r>
          </w:p>
        </w:tc>
        <w:tc>
          <w:tcPr>
            <w:tcW w:w="860" w:type="dxa"/>
            <w:vAlign w:val="bottom"/>
            <w:gridSpan w:val="2"/>
            <w:vMerge w:val="continue"/>
          </w:tcPr>
          <w:p>
            <w:pPr>
              <w:spacing w:after="0"/>
              <w:rPr>
                <w:sz w:val="5"/>
                <w:szCs w:val="5"/>
                <w:color w:val="auto"/>
              </w:rPr>
            </w:pPr>
          </w:p>
        </w:tc>
        <w:tc>
          <w:tcPr>
            <w:tcW w:w="680" w:type="dxa"/>
            <w:vAlign w:val="bottom"/>
            <w:vMerge w:val="restart"/>
          </w:tcPr>
          <w:p>
            <w:pPr>
              <w:spacing w:after="0" w:line="148"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line="148" w:lineRule="exact"/>
              <w:rPr>
                <w:sz w:val="20"/>
                <w:szCs w:val="20"/>
                <w:color w:val="auto"/>
              </w:rPr>
            </w:pPr>
            <w:r>
              <w:rPr>
                <w:rFonts w:ascii="Arial" w:cs="Arial" w:eastAsia="Arial" w:hAnsi="Arial"/>
                <w:sz w:val="13"/>
                <w:szCs w:val="13"/>
                <w:color w:val="0000FF"/>
                <w:w w:val="92"/>
              </w:rPr>
              <w:t>5,000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ind w:left="60"/>
              <w:spacing w:after="0" w:line="148" w:lineRule="exact"/>
              <w:rPr>
                <w:sz w:val="20"/>
                <w:szCs w:val="20"/>
                <w:color w:val="auto"/>
              </w:rPr>
            </w:pPr>
            <w:r>
              <w:rPr>
                <w:rFonts w:ascii="Arial" w:cs="Arial" w:eastAsia="Arial" w:hAnsi="Arial"/>
                <w:sz w:val="13"/>
                <w:szCs w:val="13"/>
                <w:color w:val="0000FF"/>
                <w:w w:val="99"/>
              </w:rPr>
              <w:t>Performance</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5,000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tcPr>
          <w:p>
            <w:pPr>
              <w:jc w:val="center"/>
              <w:spacing w:after="0" w:line="148"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12"/>
                <w:szCs w:val="12"/>
                <w:color w:val="auto"/>
              </w:rPr>
            </w:pPr>
          </w:p>
        </w:tc>
        <w:tc>
          <w:tcPr>
            <w:tcW w:w="6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800" w:type="dxa"/>
            <w:vAlign w:val="bottom"/>
          </w:tcPr>
          <w:p>
            <w:pPr>
              <w:ind w:left="400"/>
              <w:spacing w:after="0" w:line="148" w:lineRule="exact"/>
              <w:rPr>
                <w:sz w:val="20"/>
                <w:szCs w:val="20"/>
                <w:color w:val="auto"/>
              </w:rPr>
            </w:pPr>
            <w:r>
              <w:rPr>
                <w:rFonts w:ascii="Arial" w:cs="Arial" w:eastAsia="Arial" w:hAnsi="Arial"/>
                <w:sz w:val="13"/>
                <w:szCs w:val="13"/>
                <w:color w:val="0000FF"/>
              </w:rPr>
              <w:t>5,000</w:t>
            </w:r>
          </w:p>
        </w:tc>
        <w:tc>
          <w:tcPr>
            <w:tcW w:w="860" w:type="dxa"/>
            <w:vAlign w:val="bottom"/>
            <w:gridSpan w:val="2"/>
            <w:vMerge w:val="continue"/>
          </w:tcPr>
          <w:p>
            <w:pPr>
              <w:spacing w:after="0"/>
              <w:rPr>
                <w:sz w:val="12"/>
                <w:szCs w:val="12"/>
                <w:color w:val="auto"/>
              </w:rPr>
            </w:pPr>
          </w:p>
        </w:tc>
        <w:tc>
          <w:tcPr>
            <w:tcW w:w="680" w:type="dxa"/>
            <w:vAlign w:val="bottom"/>
          </w:tcPr>
          <w:p>
            <w:pPr>
              <w:spacing w:after="0" w:line="148" w:lineRule="exact"/>
              <w:rPr>
                <w:sz w:val="20"/>
                <w:szCs w:val="20"/>
                <w:color w:val="auto"/>
              </w:rPr>
            </w:pPr>
            <w:r>
              <w:rPr>
                <w:rFonts w:ascii="Arial" w:cs="Arial" w:eastAsia="Arial" w:hAnsi="Arial"/>
                <w:sz w:val="13"/>
                <w:szCs w:val="13"/>
                <w:color w:val="0000FF"/>
              </w:rPr>
              <w:t>02/13/2024</w:t>
            </w:r>
          </w:p>
        </w:tc>
        <w:tc>
          <w:tcPr>
            <w:tcW w:w="700" w:type="dxa"/>
            <w:vAlign w:val="bottom"/>
          </w:tcPr>
          <w:p>
            <w:pPr>
              <w:ind w:left="8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48" w:lineRule="exact"/>
              <w:rPr>
                <w:sz w:val="20"/>
                <w:szCs w:val="20"/>
                <w:color w:val="auto"/>
              </w:rPr>
            </w:pPr>
            <w:r>
              <w:rPr>
                <w:rFonts w:ascii="Arial" w:cs="Arial" w:eastAsia="Arial" w:hAnsi="Arial"/>
                <w:sz w:val="13"/>
                <w:szCs w:val="13"/>
                <w:color w:val="0000FF"/>
                <w:w w:val="92"/>
              </w:rPr>
              <w:t>5,000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ind w:left="60"/>
              <w:spacing w:after="0" w:line="148" w:lineRule="exact"/>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60" w:firstLine="7"/>
        <w:spacing w:after="0" w:line="302"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33.3% of the restricted stock will vest on February 13, 2015; an additional 33.3% will vest on February 13, 2016; and the remaining balance of the restricted stock will vest on February 13, 2017. Vesting of some or all of the restricted stock may be accelerated upon or in connection with the occurrence of a "Change in Control," as such term is defined in the agreement governing the grant of the restricted stock.</w:t>
      </w:r>
    </w:p>
    <w:p>
      <w:pPr>
        <w:ind w:left="40" w:right="34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restricted stock units will vest on February 13, 2015; an additional 20 percent will vest on February 13, 2016; an additional 30 percent will vest on February 13, 2017; and the remaining 40 percent will vest on February 13, 2018. Vesting will be accelerated upon certain terminations of employment and upon a "Change in Control" (as such term is defined in the ExlService Holdings, Inc. 2006 Omnibus Award Plan (the "Omnibus Award Plan") and in the agreement governing the grant of the restricted stock units)..</w:t>
      </w:r>
    </w:p>
    <w:p>
      <w:pPr>
        <w:spacing w:after="0" w:line="22" w:lineRule="exact"/>
        <w:rPr>
          <w:rFonts w:ascii="Arial" w:cs="Arial" w:eastAsia="Arial" w:hAnsi="Arial"/>
          <w:sz w:val="13"/>
          <w:szCs w:val="13"/>
          <w:color w:val="008000"/>
        </w:rPr>
      </w:pPr>
    </w:p>
    <w:p>
      <w:pPr>
        <w:jc w:val="both"/>
        <w:ind w:left="40" w:right="30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performance restricted stock units will vest on December 31, 2016, if applicable performance targets, which are set out in the agreement governing the grant of the performance restricted stock units, are met. Vesting of some or all of the performance restricted stock units may be accelerated upon or in connection with the occurrence of a "Change in Control," as such term is defined in the Omnibus Award Plan and the agreement governing the grant of the performance restricted stock units.</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7"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Lazbart Oseni, Attorney-in-</w:t>
            </w:r>
          </w:p>
        </w:tc>
        <w:tc>
          <w:tcPr>
            <w:tcW w:w="14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02/18/2014</w:t>
            </w:r>
          </w:p>
        </w:tc>
        <w:tc>
          <w:tcPr>
            <w:tcW w:w="0" w:type="dxa"/>
            <w:vAlign w:val="bottom"/>
          </w:tcPr>
          <w:p>
            <w:pPr>
              <w:spacing w:after="0"/>
              <w:rPr>
                <w:sz w:val="1"/>
                <w:szCs w:val="1"/>
                <w:color w:val="auto"/>
              </w:rPr>
            </w:pPr>
          </w:p>
        </w:tc>
      </w:tr>
      <w:tr>
        <w:trPr>
          <w:trHeight w:val="92"/>
        </w:trPr>
        <w:tc>
          <w:tcPr>
            <w:tcW w:w="300" w:type="dxa"/>
            <w:vAlign w:val="bottom"/>
            <w:vMerge w:val="restart"/>
          </w:tcPr>
          <w:p>
            <w:pPr>
              <w:spacing w:after="0" w:line="194"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2019-12-16T15:50:35Z</dcterms:created>
  <dcterms:modified xsi:type="dcterms:W3CDTF">2019-12-16T15:50:35Z</dcterms:modified>
</cp:coreProperties>
</file>