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1,400</w:t>
            </w:r>
          </w:p>
        </w:tc>
        <w:tc>
          <w:tcPr>
            <w:tcW w:w="60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jc w:val="right"/>
              <w:ind w:right="114"/>
              <w:spacing w:after="0"/>
              <w:rPr>
                <w:sz w:val="20"/>
                <w:szCs w:val="20"/>
                <w:color w:val="auto"/>
              </w:rPr>
            </w:pPr>
            <w:r>
              <w:rPr>
                <w:rFonts w:ascii="Arial" w:cs="Arial" w:eastAsia="Arial" w:hAnsi="Arial"/>
                <w:sz w:val="11"/>
                <w:szCs w:val="11"/>
                <w:color w:val="008000"/>
              </w:rPr>
              <w:t>(1)</w:t>
            </w:r>
          </w:p>
        </w:tc>
        <w:tc>
          <w:tcPr>
            <w:tcW w:w="1480" w:type="dxa"/>
            <w:vAlign w:val="bottom"/>
            <w:gridSpan w:val="3"/>
            <w:vMerge w:val="restart"/>
          </w:tcPr>
          <w:p>
            <w:pPr>
              <w:jc w:val="right"/>
              <w:ind w:right="396"/>
              <w:spacing w:after="0"/>
              <w:rPr>
                <w:sz w:val="20"/>
                <w:szCs w:val="20"/>
                <w:color w:val="auto"/>
              </w:rPr>
            </w:pPr>
            <w:r>
              <w:rPr>
                <w:rFonts w:ascii="Arial" w:cs="Arial" w:eastAsia="Arial" w:hAnsi="Arial"/>
                <w:sz w:val="18"/>
                <w:szCs w:val="18"/>
                <w:color w:val="0000FF"/>
              </w:rPr>
              <w:t>1,402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rPr>
              <w:t>02/03/2015</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476</w:t>
            </w:r>
          </w:p>
        </w:tc>
        <w:tc>
          <w:tcPr>
            <w:tcW w:w="600" w:type="dxa"/>
            <w:vAlign w:val="bottom"/>
            <w:vMerge w:val="restart"/>
          </w:tcPr>
          <w:p>
            <w:pPr>
              <w:ind w:left="2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29.5475</w:t>
            </w:r>
            <w:r>
              <w:rPr>
                <w:rFonts w:ascii="Arial" w:cs="Arial" w:eastAsia="Arial" w:hAnsi="Arial"/>
                <w:sz w:val="22"/>
                <w:szCs w:val="22"/>
                <w:color w:val="008000"/>
                <w:w w:val="85"/>
                <w:vertAlign w:val="superscript"/>
              </w:rPr>
              <w:t>(2)</w:t>
            </w:r>
          </w:p>
        </w:tc>
        <w:tc>
          <w:tcPr>
            <w:tcW w:w="460" w:type="dxa"/>
            <w:vAlign w:val="bottom"/>
          </w:tcPr>
          <w:p>
            <w:pPr>
              <w:spacing w:after="0"/>
              <w:rPr>
                <w:sz w:val="22"/>
                <w:szCs w:val="22"/>
                <w:color w:val="auto"/>
              </w:rPr>
            </w:pPr>
          </w:p>
        </w:tc>
        <w:tc>
          <w:tcPr>
            <w:tcW w:w="800" w:type="dxa"/>
            <w:vAlign w:val="bottom"/>
            <w:vMerge w:val="restart"/>
          </w:tcPr>
          <w:p>
            <w:pPr>
              <w:jc w:val="right"/>
              <w:ind w:right="476"/>
              <w:spacing w:after="0"/>
              <w:rPr>
                <w:sz w:val="20"/>
                <w:szCs w:val="20"/>
                <w:color w:val="auto"/>
              </w:rPr>
            </w:pPr>
            <w:r>
              <w:rPr>
                <w:rFonts w:ascii="Arial" w:cs="Arial" w:eastAsia="Arial" w:hAnsi="Arial"/>
                <w:sz w:val="18"/>
                <w:szCs w:val="18"/>
                <w:color w:val="0000FF"/>
                <w:w w:val="79"/>
              </w:rPr>
              <w:t>926</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2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20" w:type="dxa"/>
            <w:vAlign w:val="bottom"/>
            <w:gridSpan w:val="8"/>
          </w:tcPr>
          <w:p>
            <w:pPr>
              <w:ind w:left="6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0000FF"/>
                <w:w w:val="87"/>
              </w:rPr>
              <w:t>Common</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0000FF"/>
              </w:rPr>
              <w:t>1,400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02/03/2015</w:t>
            </w:r>
          </w:p>
        </w:tc>
        <w:tc>
          <w:tcPr>
            <w:tcW w:w="1100" w:type="dxa"/>
            <w:vAlign w:val="bottom"/>
          </w:tcPr>
          <w:p>
            <w:pPr>
              <w:spacing w:after="0"/>
              <w:rPr>
                <w:sz w:val="12"/>
                <w:szCs w:val="12"/>
                <w:color w:val="auto"/>
              </w:rPr>
            </w:pPr>
          </w:p>
        </w:tc>
        <w:tc>
          <w:tcPr>
            <w:tcW w:w="440" w:type="dxa"/>
            <w:vAlign w:val="bottom"/>
          </w:tcPr>
          <w:p>
            <w:pPr>
              <w:jc w:val="right"/>
              <w:ind w:right="98"/>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1,400</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0000FF"/>
                <w:w w:val="86"/>
              </w:rPr>
              <w:t>par value</w:t>
            </w:r>
          </w:p>
        </w:tc>
        <w:tc>
          <w:tcPr>
            <w:tcW w:w="660" w:type="dxa"/>
            <w:vAlign w:val="bottom"/>
            <w:vMerge w:val="continue"/>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00" w:type="dxa"/>
            <w:vAlign w:val="bottom"/>
          </w:tcPr>
          <w:p>
            <w:pPr>
              <w:ind w:left="500"/>
              <w:spacing w:after="0" w:line="149" w:lineRule="exact"/>
              <w:rPr>
                <w:sz w:val="20"/>
                <w:szCs w:val="20"/>
                <w:color w:val="auto"/>
              </w:rPr>
            </w:pPr>
            <w:r>
              <w:rPr>
                <w:rFonts w:ascii="Arial" w:cs="Arial" w:eastAsia="Arial" w:hAnsi="Arial"/>
                <w:sz w:val="14"/>
                <w:szCs w:val="14"/>
                <w:color w:val="0000FF"/>
              </w:rPr>
              <w:t>0</w:t>
            </w:r>
          </w:p>
        </w:tc>
        <w:tc>
          <w:tcPr>
            <w:tcW w:w="92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0000FF"/>
                <w:w w:val="84"/>
              </w:rPr>
              <w:t>per share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3,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3, 2011, the reporting person was granted 3,500 restricted stock units, vesting in 10%, 20%, 30% and 40% beginning on the first anniversary of the grant date. The remaining balance i/n/o 1,400 shares of restricted stock units became vested on February 3,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02/05/2015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2019-12-08T12:13:02Z</dcterms:created>
  <dcterms:modified xsi:type="dcterms:W3CDTF">2019-12-08T12:13:02Z</dcterms:modified>
</cp:coreProperties>
</file>