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Pursuant to Sections 13 or 15(d) of the Securities Exchange Act of 1934</w:t>
      </w:r>
    </w:p>
    <w:p>
      <w:pPr>
        <w:spacing w:after="0" w:line="3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Date of Report (Date of earliest event reported): April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2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001-33089</w:t>
            </w:r>
          </w:p>
        </w:tc>
        <w:tc>
          <w:tcPr>
            <w:tcW w:w="194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82-0572194</w:t>
            </w:r>
          </w:p>
        </w:tc>
      </w:tr>
      <w:tr>
        <w:trPr>
          <w:trHeight w:val="292"/>
        </w:trPr>
        <w:tc>
          <w:tcPr>
            <w:tcW w:w="2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0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(Commission File Number)</w:t>
            </w:r>
          </w:p>
        </w:tc>
        <w:tc>
          <w:tcPr>
            <w:tcW w:w="19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5080" w:type="dxa"/>
            <w:vAlign w:val="bottom"/>
          </w:tcPr>
          <w:p>
            <w:pPr>
              <w:spacing w:after="0"/>
              <w:rPr>
                <w:sz w:val="20"/>
                <w:szCs w:val="20"/>
                <w:color w:val="auto"/>
              </w:rPr>
            </w:pP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44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320 Park Avenue, 29th Floor,</w:t>
            </w:r>
          </w:p>
        </w:tc>
        <w:tc>
          <w:tcPr>
            <w:tcW w:w="1940" w:type="dxa"/>
            <w:vAlign w:val="bottom"/>
          </w:tcPr>
          <w:p>
            <w:pPr>
              <w:spacing w:after="0"/>
              <w:rPr>
                <w:sz w:val="24"/>
                <w:szCs w:val="24"/>
                <w:color w:val="auto"/>
              </w:rPr>
            </w:pPr>
          </w:p>
        </w:tc>
      </w:tr>
      <w:tr>
        <w:trPr>
          <w:trHeight w:val="220"/>
        </w:trPr>
        <w:tc>
          <w:tcPr>
            <w:tcW w:w="2440" w:type="dxa"/>
            <w:vAlign w:val="bottom"/>
          </w:tcPr>
          <w:p>
            <w:pPr>
              <w:spacing w:after="0"/>
              <w:rPr>
                <w:sz w:val="19"/>
                <w:szCs w:val="19"/>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194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234"/>
        </w:trPr>
        <w:tc>
          <w:tcPr>
            <w:tcW w:w="244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9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244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277-7100</w:t>
            </w:r>
          </w:p>
        </w:tc>
        <w:tc>
          <w:tcPr>
            <w:tcW w:w="1940" w:type="dxa"/>
            <w:vAlign w:val="bottom"/>
          </w:tcPr>
          <w:p>
            <w:pPr>
              <w:spacing w:after="0"/>
              <w:rPr>
                <w:sz w:val="24"/>
                <w:szCs w:val="24"/>
                <w:color w:val="auto"/>
              </w:rPr>
            </w:pPr>
          </w:p>
        </w:tc>
      </w:tr>
      <w:tr>
        <w:trPr>
          <w:trHeight w:val="414"/>
        </w:trPr>
        <w:tc>
          <w:tcPr>
            <w:tcW w:w="244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940" w:type="dxa"/>
            <w:vAlign w:val="bottom"/>
          </w:tcPr>
          <w:p>
            <w:pPr>
              <w:spacing w:after="0"/>
              <w:rPr>
                <w:sz w:val="24"/>
                <w:szCs w:val="24"/>
                <w:color w:val="auto"/>
              </w:rPr>
            </w:pPr>
          </w:p>
        </w:tc>
      </w:tr>
      <w:tr>
        <w:trPr>
          <w:trHeight w:val="234"/>
        </w:trPr>
        <w:tc>
          <w:tcPr>
            <w:tcW w:w="244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tc>
        <w:tc>
          <w:tcPr>
            <w:tcW w:w="19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652"/>
        <w:spacing w:after="0" w:line="282"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EXLS</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63"/>
        </w:trPr>
        <w:tc>
          <w:tcPr>
            <w:tcW w:w="374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tcPr>
          <w:p>
            <w:pPr>
              <w:spacing w:after="0"/>
              <w:rPr>
                <w:sz w:val="22"/>
                <w:szCs w:val="22"/>
                <w:color w:val="auto"/>
              </w:rPr>
            </w:pPr>
          </w:p>
        </w:tc>
      </w:tr>
      <w:tr>
        <w:trPr>
          <w:trHeight w:val="28"/>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459"/>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18, 2022 (the “Closing Date”), ExlService Holdings, Inc. (the “Company”) and each other Loan Party referred to in the Credit Agreement (as defined below) entered into an Amendment and Restatement Agreement with Citibank, N.A., PNC Bank, National Association, TD Bank, N.A., HSBC Bank USA, National Association, JPMorgan Chase Bank, N.A., Bank of America, N.A. and the other lenders party thereto from time to time, with Citibank, N.A. serving as administrative agent (the “Agreement”), pursuant to which the parties thereto amended and restated the Company’s Credit Agreement, dated as of November 21, 2017, as amended prior to April 18, 2022 (the “Credit Agreement”). The purposes of the Agreement are to, among other things, (a) provide for the issuance of new revolving credit commitments such that the aggregate amount of revolving credit commitments available to the Company is equal to $400,000,000; (b) extend the maturity date thereof from November 21, 2022 to April 18, 2027; and (c) replace LIBOR with SOFR as the reference rate for the US dollar borrowings.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the full text of the Agreement, which is attached hereto as Exhibit 10.1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discussion in Item 1.01 above is incorporated by reference into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600" w:type="dxa"/>
            <w:vAlign w:val="bottom"/>
          </w:tcPr>
          <w:p>
            <w:pPr>
              <w:spacing w:after="0"/>
              <w:rPr>
                <w:sz w:val="17"/>
                <w:szCs w:val="17"/>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291"/>
        </w:trPr>
        <w:tc>
          <w:tcPr>
            <w:tcW w:w="880" w:type="dxa"/>
            <w:vAlign w:val="bottom"/>
            <w:gridSpan w:val="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600" w:type="dxa"/>
            <w:vAlign w:val="bottom"/>
          </w:tcPr>
          <w:p>
            <w:pPr>
              <w:spacing w:after="0"/>
              <w:rPr>
                <w:sz w:val="24"/>
                <w:szCs w:val="24"/>
                <w:color w:val="auto"/>
              </w:rPr>
            </w:pPr>
          </w:p>
        </w:tc>
        <w:tc>
          <w:tcPr>
            <w:tcW w:w="9760" w:type="dxa"/>
            <w:vAlign w:val="bottom"/>
            <w:gridSpan w:val="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Amendment and Restatement Agreement, dated April 18, 2022, by and among the Company and the other loan parties thereto, the</w:t>
              </w:r>
            </w:hyperlink>
          </w:p>
        </w:tc>
      </w:tr>
      <w:tr>
        <w:trPr>
          <w:trHeight w:val="196"/>
        </w:trPr>
        <w:tc>
          <w:tcPr>
            <w:tcW w:w="32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6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lenders party thereto, and Citibank, N.A., as administrative agent.</w:t>
              </w:r>
            </w:hyperlink>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20" w:type="dxa"/>
            <w:vAlign w:val="bottom"/>
            <w:gridSpan w:val="2"/>
            <w:shd w:val="clear" w:color="auto" w:fill="0000EE"/>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33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60" w:type="dxa"/>
            <w:vAlign w:val="bottom"/>
          </w:tcPr>
          <w:p>
            <w:pPr>
              <w:spacing w:after="0"/>
              <w:rPr>
                <w:sz w:val="19"/>
                <w:szCs w:val="19"/>
                <w:color w:val="auto"/>
              </w:rPr>
            </w:pPr>
          </w:p>
        </w:tc>
        <w:tc>
          <w:tcPr>
            <w:tcW w:w="788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360" w:type="dxa"/>
            <w:vAlign w:val="bottom"/>
          </w:tcPr>
          <w:p>
            <w:pPr>
              <w:spacing w:after="0"/>
              <w:rPr>
                <w:sz w:val="20"/>
                <w:szCs w:val="20"/>
                <w:color w:val="auto"/>
              </w:rPr>
            </w:pPr>
          </w:p>
        </w:tc>
        <w:tc>
          <w:tcPr>
            <w:tcW w:w="788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April 20, 2022</w:t>
            </w:r>
          </w:p>
        </w:tc>
        <w:tc>
          <w:tcPr>
            <w:tcW w:w="28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Ayyappan</w:t>
            </w:r>
          </w:p>
        </w:tc>
      </w:tr>
      <w:tr>
        <w:trPr>
          <w:trHeight w:val="191"/>
        </w:trPr>
        <w:tc>
          <w:tcPr>
            <w:tcW w:w="3360" w:type="dxa"/>
            <w:vAlign w:val="bottom"/>
          </w:tcPr>
          <w:p>
            <w:pPr>
              <w:spacing w:after="0"/>
              <w:rPr>
                <w:sz w:val="16"/>
                <w:szCs w:val="16"/>
                <w:color w:val="auto"/>
              </w:rPr>
            </w:pPr>
          </w:p>
        </w:tc>
        <w:tc>
          <w:tcPr>
            <w:tcW w:w="2840" w:type="dxa"/>
            <w:vAlign w:val="bottom"/>
          </w:tcPr>
          <w:p>
            <w:pPr>
              <w:ind w:left="22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Ajay Ayyappan</w:t>
            </w:r>
          </w:p>
        </w:tc>
      </w:tr>
      <w:tr>
        <w:trPr>
          <w:trHeight w:val="234"/>
        </w:trPr>
        <w:tc>
          <w:tcPr>
            <w:tcW w:w="3360" w:type="dxa"/>
            <w:vAlign w:val="bottom"/>
          </w:tcPr>
          <w:p>
            <w:pPr>
              <w:spacing w:after="0"/>
              <w:rPr>
                <w:sz w:val="20"/>
                <w:szCs w:val="20"/>
                <w:color w:val="auto"/>
              </w:rPr>
            </w:pPr>
          </w:p>
        </w:tc>
        <w:tc>
          <w:tcPr>
            <w:tcW w:w="28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648"/>
        </w:trPr>
        <w:tc>
          <w:tcPr>
            <w:tcW w:w="33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RESTATEMENT AGREEMENT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AMENDMENT AND RESTATEMENT AGREEMENT, dated as of April 18, 2022 (this “</w:t>
      </w:r>
      <w:r>
        <w:rPr>
          <w:rFonts w:ascii="Times New Roman" w:cs="Times New Roman" w:eastAsia="Times New Roman" w:hAnsi="Times New Roman"/>
          <w:sz w:val="18"/>
          <w:szCs w:val="18"/>
          <w:u w:val="single" w:color="auto"/>
          <w:color w:val="auto"/>
        </w:rPr>
        <w:t>Amendment and Restatement</w:t>
      </w:r>
      <w:r>
        <w:rPr>
          <w:rFonts w:ascii="Times New Roman" w:cs="Times New Roman" w:eastAsia="Times New Roman" w:hAnsi="Times New Roman"/>
          <w:sz w:val="18"/>
          <w:szCs w:val="18"/>
          <w:color w:val="auto"/>
        </w:rPr>
        <w:t>”), by and among ExlService Holdings,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other Loan Party (as defined in the Original Credit Agreement referred to below), Citibank, N.A.,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the certain Lenders (as defined below) party 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WHEREAS, the Borrower, each Loan Party, each lender from time to time party thereto (the “</w:t>
      </w:r>
      <w:r>
        <w:rPr>
          <w:rFonts w:ascii="Times New Roman" w:cs="Times New Roman" w:eastAsia="Times New Roman" w:hAnsi="Times New Roman"/>
          <w:sz w:val="18"/>
          <w:szCs w:val="18"/>
          <w:u w:val="single" w:color="auto"/>
          <w:color w:val="auto"/>
        </w:rPr>
        <w:t>Original Lenders</w:t>
      </w:r>
      <w:r>
        <w:rPr>
          <w:rFonts w:ascii="Times New Roman" w:cs="Times New Roman" w:eastAsia="Times New Roman" w:hAnsi="Times New Roman"/>
          <w:sz w:val="18"/>
          <w:szCs w:val="18"/>
          <w:color w:val="auto"/>
        </w:rPr>
        <w:t>”) and the Administrative Agent have entered into that certain Credit Agreement, dated as of November 21, 2017 (as amended, restated, amended and restated, modified or supplemented from time to time through the date hereof, including pursuant to that certain First Amendment to Credit Agreement, dated as of July 2, 2018, pursuant to that certain Second Amendment to Credit Agreement, dated as of October 1, 2018 and pursuant to that certain Third Amendment to Credit Agreement, dated as of April 16, 2021, the “</w:t>
      </w:r>
      <w:r>
        <w:rPr>
          <w:rFonts w:ascii="Times New Roman" w:cs="Times New Roman" w:eastAsia="Times New Roman" w:hAnsi="Times New Roman"/>
          <w:sz w:val="18"/>
          <w:szCs w:val="18"/>
          <w:u w:val="single" w:color="auto"/>
          <w:color w:val="auto"/>
        </w:rPr>
        <w:t>Original Credit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the Original Credit Agreement, the Original Lenders have provided revolving credit commitments and loans in respect thereof (“</w:t>
      </w:r>
      <w:r>
        <w:rPr>
          <w:rFonts w:ascii="Times New Roman" w:cs="Times New Roman" w:eastAsia="Times New Roman" w:hAnsi="Times New Roman"/>
          <w:sz w:val="18"/>
          <w:szCs w:val="18"/>
          <w:u w:val="single" w:color="auto"/>
          <w:color w:val="auto"/>
        </w:rPr>
        <w:t>Original Loans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WHEREAS, the Borrower has requested that (i) the Lenders (as defined below) provide New Commitments (as defined below) to the Borrower and (ii) simultaneously with the issuance by the Lenders of the New Commitments to the Borrower, the Original Credit Agreement be amended and restated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Original Credit Agreement, as so amended, the “</w:t>
      </w:r>
      <w:r>
        <w:rPr>
          <w:rFonts w:ascii="Times New Roman" w:cs="Times New Roman" w:eastAsia="Times New Roman" w:hAnsi="Times New Roman"/>
          <w:sz w:val="18"/>
          <w:szCs w:val="18"/>
          <w:u w:val="single" w:color="auto"/>
          <w:color w:val="auto"/>
        </w:rPr>
        <w:t>Amended and Restated Credit Agreement</w:t>
      </w:r>
      <w:r>
        <w:rPr>
          <w:rFonts w:ascii="Times New Roman" w:cs="Times New Roman" w:eastAsia="Times New Roman" w:hAnsi="Times New Roman"/>
          <w:sz w:val="18"/>
          <w:szCs w:val="18"/>
          <w:color w:val="auto"/>
        </w:rPr>
        <w:t>”; capitalized terms used herein (including in the recitals hereto) and not otherwise defined herein shall have the meanings assigned to such terms in the Amended and Restated Credit Agreement) to, among other things, provide for the issuance of new revolving credit commitments (the “</w:t>
      </w:r>
      <w:r>
        <w:rPr>
          <w:rFonts w:ascii="Times New Roman" w:cs="Times New Roman" w:eastAsia="Times New Roman" w:hAnsi="Times New Roman"/>
          <w:sz w:val="18"/>
          <w:szCs w:val="18"/>
          <w:u w:val="single" w:color="auto"/>
          <w:color w:val="auto"/>
        </w:rPr>
        <w:t>New Commitments</w:t>
      </w:r>
      <w:r>
        <w:rPr>
          <w:rFonts w:ascii="Times New Roman" w:cs="Times New Roman" w:eastAsia="Times New Roman" w:hAnsi="Times New Roman"/>
          <w:sz w:val="18"/>
          <w:szCs w:val="18"/>
          <w:color w:val="auto"/>
        </w:rPr>
        <w:t>” and the persons providing such New Commitments,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WHEREAS, subject to the terms and conditions set forth herein, on the Amendment and Restatement Effective Date (as defined below), each Lender has agreed to (i) provide the New Commitments in the principal amount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and (ii) consent to and approve this Amendment and Restatement, the Amended and Restated Credit Agreement, each Amended Document (as defined below), each other Loan Document and each other document required to be delivered or approved pursuant to this Amendment and Restatement, the Amended and Restated Credit Agreement and any other Amended Document;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sufficiency of all of which is hereby acknowledged, the parties hereto hereby agree as follows: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Commitments and Loans</w:t>
      </w:r>
    </w:p>
    <w:p>
      <w:pPr>
        <w:spacing w:after="0" w:line="225" w:lineRule="exact"/>
        <w:rPr>
          <w:sz w:val="20"/>
          <w:szCs w:val="20"/>
          <w:color w:val="auto"/>
        </w:rPr>
      </w:pPr>
    </w:p>
    <w:p>
      <w:pPr>
        <w:ind w:left="2260" w:hanging="956"/>
        <w:spacing w:after="0"/>
        <w:tabs>
          <w:tab w:leader="none" w:pos="2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on the Amendment and Restatement Effective Date, each Lender agrees</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its execution hereof, that it is a Lender under the Amended and Restated Credit Agreement and (ii) to provide a Commitment in the amount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and make Loans in accordance with Section 2.01 of the Amended and Restated Credit Agreement.</w:t>
      </w:r>
    </w:p>
    <w:p>
      <w:pPr>
        <w:spacing w:after="0" w:line="18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48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Amendment and Restatement and agreeing to provide the New Commitments, shall be deemed to have acknowledged receipt of, and consented to and approved, this Amendment and Restatement, the Amended and Restated Credit Agreement, the other Amended Documents, each other Loan Document and each other document required to be delivered to, or be approved by or satisfactory to, the Administrative Agent or any Lender. The commitments of the Lenders are several, and no Lender shall be responsible for any other Lender’s failure to make New Loans.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ind w:firstLine="1304"/>
        <w:spacing w:after="0" w:line="255" w:lineRule="auto"/>
        <w:tabs>
          <w:tab w:leader="none" w:pos="2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hereby acknowledge and agree that if on the Amendment and Restatement Effective Date there are any Original Loans outstanding under the Original Credit Agreement, (i) such Original Loans shall continue under the Amended and Restated Credit Agreement and continue to constitute Loans for all purposes thereunder, (ii) the Borrower shall borrow from all or certain of the Lenders and/or prepay Loans of all or certain of the Lenders such that, after giving effect thereto, the Loans (including, without limitation, the Types and Interest Periods thereof) and such participations shall be held by the Lenders (including for such purposes the Lenders) ratably in accordance with their respective New Commitments and (iii) on and after the Amendment and Restatement Effective Date, the ratable share of each Lender’s participation in Letters of Credit and Loans from draws under Letters of Credit shall be calculated after giving effect to the New Commitments documented hereby.</w:t>
      </w:r>
    </w:p>
    <w:p>
      <w:pPr>
        <w:spacing w:after="0" w:line="18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Amendments to Loan Documents</w:t>
      </w:r>
      <w:r>
        <w:rPr>
          <w:rFonts w:ascii="Times New Roman" w:cs="Times New Roman" w:eastAsia="Times New Roman" w:hAnsi="Times New Roman"/>
          <w:sz w:val="18"/>
          <w:szCs w:val="18"/>
          <w:color w:val="auto"/>
        </w:rPr>
        <w:t>. On the Amendment and Restatement Effective Date, the Borrower, the other Loan Parties, each Lender and the Administrative Agent agree that:</w:t>
      </w:r>
    </w:p>
    <w:p>
      <w:pPr>
        <w:spacing w:after="0" w:line="162" w:lineRule="exact"/>
        <w:rPr>
          <w:sz w:val="20"/>
          <w:szCs w:val="20"/>
          <w:color w:val="auto"/>
        </w:rPr>
      </w:pPr>
    </w:p>
    <w:p>
      <w:pPr>
        <w:ind w:left="2220" w:hanging="916"/>
        <w:spacing w:after="0"/>
        <w:tabs>
          <w:tab w:leader="none" w:pos="2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Original Credit Agreement shall be amended and restated in its entirety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Commitment Schedule shall be amended and restated in its entirety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ind w:left="2220" w:hanging="916"/>
        <w:spacing w:after="0"/>
        <w:tabs>
          <w:tab w:leader="none" w:pos="2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exhibits to the Original Credit Agreement shall be amended and restated in its entirety as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4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Document (as defined under the Original Credit Agreement) other than the Original Credit Agreement, as in effect on the Amendment and Restatement Effective Date, as supplemented and ratified by this Amendment and Restatement, and as the same may be further amended, restated, amended and restated, supplemented or otherwise modified in the reasonable discretion of the Administrative Agent and each Loan Party a party thereto to effect any of the transactions contemplated hereby, together with the Amended and Restated Credit Agreement and any exhibit or schedule thereto as amended and restated in accordance with the terms hereof, are referred to in this Amendment and Restatement, collectively, as the “</w:t>
      </w:r>
      <w:r>
        <w:rPr>
          <w:rFonts w:ascii="Times New Roman" w:cs="Times New Roman" w:eastAsia="Times New Roman" w:hAnsi="Times New Roman"/>
          <w:sz w:val="18"/>
          <w:szCs w:val="18"/>
          <w:u w:val="single" w:color="auto"/>
          <w:color w:val="auto"/>
        </w:rPr>
        <w:t>Amended Documents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the Amended and Restated Credit Agreement, the terms “Agreement”, “this Agreement”, “herein”, “hereinafter”, “hereto”, “hereof” and words of similar import shall, unless the context otherwise requires, from and after the Amendment and Restatement Effective Date, mean or refer to the Amended and Restated Credit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3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any Loan Document, all references to the “Credit Agreement” (and/or any exhibit or schedule thereto) in such Loan Document shall, unless the context otherwise requires, mean or refer to the Amended and Restated Credit Agreement (or such exhibit or schedule, as amended and restated in accordance with the terms hereof).</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1300"/>
        <w:spacing w:after="0"/>
        <w:tabs>
          <w:tab w:leader="none" w:pos="254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Borrower and the other Loan Parties hereby represent and warrant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and Restatement Effective Date that:</w:t>
      </w:r>
    </w:p>
    <w:p>
      <w:pPr>
        <w:spacing w:after="0" w:line="207" w:lineRule="exact"/>
        <w:rPr>
          <w:sz w:val="20"/>
          <w:szCs w:val="20"/>
          <w:color w:val="auto"/>
        </w:rPr>
      </w:pPr>
    </w:p>
    <w:p>
      <w:pPr>
        <w:jc w:val="both"/>
        <w:ind w:firstLine="1304"/>
        <w:spacing w:after="0" w:line="261" w:lineRule="auto"/>
        <w:tabs>
          <w:tab w:leader="none" w:pos="253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Loan Parties of the Amendment and Restatement and the Amended Documents, and the performance by the Loan Parties of the Amendment and Restatement, the Amended Documents and the Loan Documents, are within each Loan Party’s corporate or limited liability company powers, as the case may be, and have been duly authorized by all necessary corporate or limited liability company and, if required, stockholder or member action.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and Restatement and the Amended Documents have been duly executed and delivered by the Loan Parties and the Amendment and Restatement, the Amended Documents and the other Loan Documents each constitute a legal, valid and binding obligation of each Loan Party party thereto, enforceable against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253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by the Loan Parties of the Amendment and Restatement and the Amended Documents and the performance by such Loan Party of the Amendment and Restatement, the Amended Documents and the other Loan Documents to which such Loan Party is a party (i) do not, on the part of any Loan Party or any of its Subsidiaries, require any consent or approval of, registration or filing with, or any other action by, any Governmental Authority, except such as have been obtained or made and are in full force and effect and except for filings necessary to perfect Liens created pursuant to the Loan Documents, (ii) will not violate any Requirement of Law applicable to any Loan Party or any of its Subsidiaries any order of any Governmental Authority, (iii) will not violate or result in a default under, or give rise to a right to require any payment to be made by any Loan Party or any of its Subsidiaries under, (A) any indenture or loan agreement, in each case, evidencing Indebtedness in excess of $2 million, (B) any Swap Agreement or (C) any other material agreement, in each case which is binding upon any Loan Party or any of its Subsidiaries or its assets, and (iv) will not result in the creation or imposition of any Lien on any asset of any Loan Party or any of its Subsidiaries, except Liens created pursuant to the Loan Documents,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(iii)(C), except as would not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3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the Amendment and Restatement Effective Date, no Default or Event of Default has occurred or would result from this Amendment and Restatement, the entry into the Amendment and Restatement and the Amended Documents, the incurrence of the New Commitments or from the application of any proceeds from any borrowings on the Amendment and Restatement Effective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5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Loan Party set forth in the Amended and Restated Credit Agreement, the Amended Documents and in each other Loan Document are true and correct in all material respects with the same effect as though made on and as of such date, except that (i) to the extent that such representations and warranties specifically refer to an earlier date, such representations and warranties are true and correct in all material respects as of such earlier date and (ii) any representation and warranty that is qualified as to “materiality” or “Material Adverse Effect” is true and correct in all respects.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Conditions of Effectiveness of the Amendment and Restatement</w:t>
      </w:r>
      <w:r>
        <w:rPr>
          <w:rFonts w:ascii="Times New Roman" w:cs="Times New Roman" w:eastAsia="Times New Roman" w:hAnsi="Times New Roman"/>
          <w:sz w:val="18"/>
          <w:szCs w:val="18"/>
          <w:color w:val="auto"/>
        </w:rPr>
        <w:t>. This Amendment and Restatement, the Amended Documents and the obligation of the Lenders to provide the New Revolving Commitments shall become effective upon the date first written above (the “</w:t>
      </w:r>
      <w:r>
        <w:rPr>
          <w:rFonts w:ascii="Times New Roman" w:cs="Times New Roman" w:eastAsia="Times New Roman" w:hAnsi="Times New Roman"/>
          <w:sz w:val="18"/>
          <w:szCs w:val="18"/>
          <w:u w:val="single" w:color="auto"/>
          <w:color w:val="auto"/>
        </w:rPr>
        <w:t>Amendment and Restatement Effective Date</w:t>
      </w:r>
      <w:r>
        <w:rPr>
          <w:rFonts w:ascii="Times New Roman" w:cs="Times New Roman" w:eastAsia="Times New Roman" w:hAnsi="Times New Roman"/>
          <w:sz w:val="18"/>
          <w:szCs w:val="18"/>
          <w:color w:val="auto"/>
        </w:rPr>
        <w:t>”) upon the satisfaction of the following additional conditions precedent:</w:t>
      </w:r>
    </w:p>
    <w:p>
      <w:pPr>
        <w:spacing w:after="0" w:line="176" w:lineRule="exact"/>
        <w:rPr>
          <w:sz w:val="20"/>
          <w:szCs w:val="20"/>
          <w:color w:val="auto"/>
        </w:rPr>
      </w:pPr>
    </w:p>
    <w:p>
      <w:pPr>
        <w:ind w:right="20" w:firstLine="1304"/>
        <w:spacing w:after="0" w:line="282" w:lineRule="auto"/>
        <w:tabs>
          <w:tab w:leader="none" w:pos="253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counterparts to this Amendment and Restatement, duly executed by (i) the Borrower and the other Loan Parties and (ii) each Lender;</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the Amendment and Restatement Effective Date, no Default or Event of Default shall exist or would result from this Amendment and Restatement, the entry into the Amended Documents, the incurrence of the New Commitments or from the application of any proceeds from any borrowings on the Amendment and Restatement Effective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Loan Party set forth in the Amended and Restated Credit Agreement, the other Amended Documents and in each other Loan Document shall be true and correct in all material respects on and as of the Amendment and Restatement Effective Date with the same effect as though made on and as of such date, except that (i) to the extent that such representations and warranties specifically refer to an earlier date, such representations and warranties shall be true and correct in all material respects as of such earlier date and (ii) any representation and warranty that is qualified as to “materiality” or “Material Adverse Effect” shall be true and correct in all respects.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5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receipt of the following, each of which shall be originals or facsimiles unless otherwise specified, each properly executed by an authorized officer of the signing Loan Party and each in form and substance reasonably satisfactory to the Administrative Agent and its legal counsel:</w:t>
      </w:r>
    </w:p>
    <w:p>
      <w:pPr>
        <w:spacing w:after="0" w:line="175" w:lineRule="exact"/>
        <w:rPr>
          <w:rFonts w:ascii="Times New Roman" w:cs="Times New Roman" w:eastAsia="Times New Roman" w:hAnsi="Times New Roman"/>
          <w:sz w:val="18"/>
          <w:szCs w:val="18"/>
          <w:color w:val="auto"/>
        </w:rPr>
      </w:pPr>
    </w:p>
    <w:p>
      <w:pPr>
        <w:ind w:left="660" w:firstLine="968"/>
        <w:spacing w:after="0" w:line="282" w:lineRule="auto"/>
        <w:tabs>
          <w:tab w:leader="none" w:pos="234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dated as of the Amendment and Restatement Effective Date, signed by the chief financial officer of each Loan Party, certifying as to compliance with the conditions precedent set forth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firstLine="968"/>
        <w:spacing w:after="0" w:line="256" w:lineRule="auto"/>
        <w:tabs>
          <w:tab w:leader="none" w:pos="245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each Loan Party, dated the Amendment and Restatement Effective Date and executed by its Secretary or Assistant Secretary, which shall (A) certify the resolutions of its Board of Directors, members or other body authorizing the execution, delivery and performance of the Amendment and Restatement, (B) identify by name and title and bear the signatures of the Financial Officers and any other officers of such Loan Party authorized to sign the Amendment and Restatement, and (C) certify that attached thereto is the certificate or articles of incorporation or organization of each Loan Party certified by the relevant authority of the jurisdiction of organization of such Loan Party and a true and correct copy of its by-laws or operating, management or partnership agreement.</w:t>
      </w:r>
    </w:p>
    <w:p>
      <w:pPr>
        <w:spacing w:after="0" w:line="187" w:lineRule="exact"/>
        <w:rPr>
          <w:rFonts w:ascii="Times New Roman" w:cs="Times New Roman" w:eastAsia="Times New Roman" w:hAnsi="Times New Roman"/>
          <w:sz w:val="18"/>
          <w:szCs w:val="18"/>
          <w:color w:val="auto"/>
        </w:rPr>
      </w:pPr>
    </w:p>
    <w:p>
      <w:pPr>
        <w:ind w:left="2440" w:hanging="812"/>
        <w:spacing w:after="0"/>
        <w:tabs>
          <w:tab w:leader="none" w:pos="24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long form good standing certificate for each Loan Party from its jurisdiction of organization.</w:t>
      </w:r>
    </w:p>
    <w:p>
      <w:pPr>
        <w:spacing w:after="0" w:line="225" w:lineRule="exact"/>
        <w:rPr>
          <w:rFonts w:ascii="Times New Roman" w:cs="Times New Roman" w:eastAsia="Times New Roman" w:hAnsi="Times New Roman"/>
          <w:sz w:val="18"/>
          <w:szCs w:val="18"/>
          <w:color w:val="auto"/>
        </w:rPr>
      </w:pPr>
    </w:p>
    <w:p>
      <w:pPr>
        <w:ind w:left="2420" w:hanging="792"/>
        <w:spacing w:after="0"/>
        <w:tabs>
          <w:tab w:leader="none" w:pos="24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McGuireWoods LLP , legal counsel for the Loan Parties; and</w:t>
      </w:r>
    </w:p>
    <w:p>
      <w:pPr>
        <w:spacing w:after="0" w:line="225" w:lineRule="exact"/>
        <w:rPr>
          <w:rFonts w:ascii="Times New Roman" w:cs="Times New Roman" w:eastAsia="Times New Roman" w:hAnsi="Times New Roman"/>
          <w:sz w:val="18"/>
          <w:szCs w:val="18"/>
          <w:color w:val="auto"/>
        </w:rPr>
      </w:pPr>
    </w:p>
    <w:p>
      <w:pPr>
        <w:jc w:val="both"/>
        <w:ind w:left="660" w:firstLine="968"/>
        <w:spacing w:after="0" w:line="266" w:lineRule="auto"/>
        <w:tabs>
          <w:tab w:leader="none" w:pos="249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attesting to the solvency of the Borrower and its Subsidiaries (taken as a whole) on the Amendment and Restatement Effective Date, after giving effect to the transactions contemplated hereby, the incurrence of the New Commitments and any borrowings on the Amendment and Restatement Effective Date, from the chief financial officer of the Borrower;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pay or cause to be paid (x) all accrued and unpaid interest and fees in respect of the Existing Loans as of the Amendment and Restatement Effective Date, (y) all fees required to be paid by that certain Fee Letter, dated as of March 14, 2022, by and between the Borrower and the Administrative Agent, and (z) all fees and expenses and reasonable out-of-pocket expenses required to be paid by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below; and</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1304"/>
        <w:spacing w:after="0" w:line="261" w:lineRule="auto"/>
        <w:tabs>
          <w:tab w:leader="none" w:pos="236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Business Days prior to the Amendment and Restatement Effective Date, the Borrower and each of the other Loan Parties shall have provided to the Administrative Agent or the Lenders the documentation and other information theretofore requested in writing by the Administrative Agent or the Lenders at least five business days prior to the Amendment and Restatement Effective Date that is required by regulatory authorities under applicable “know your customer” and anti-money-laundering rules and regulations, including the USA PATRIOT Act.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Reference to and Effect on the Credit Agreement and the other Loan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233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Credit Agreement, the other Amended Documents and each of the other Loan Documents, as specifically amended by this Amendment and Restatement, are and shall continue to be in full force and effect and are hereby in all respects ratified and confirmed.</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4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effectiveness of this Amendment and Restatement shall not, except as expressly provided herein, operate as a waiver of any right, power or remedy of any Lender or the Administrative Agent under the Amended and Restated Credit Agreement, the other Amended Documents or any of the other Loan Documents, nor constitute a waiver of any provision of any of the Amended and Restated Credit Agreement, the other Amended Documents or the other Loan Documents. On and after the Amendment and Restatement Effective Date, this Amendment and Restatement shall for all purposes constitute a Loan Document.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Restatement shall not extinguish the Loans or any other Obligations outstanding under the Amended and Restated Credit Agreement. Nothing contained herein shall be construed as a substitution or novation of the Loans or any other Obligations outstanding under the Amended and Restated Credit Agreement, which shall remain outstanding after the Amendment and Restatement Effective Date as modified hereby.</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expressly acknowledges and agrees that (i) there has not been, and this Amendment and Restatement does not constitute or establish, a novation with respect to the Original Credit Agreement, the Amended and Restated Credit Agreement or any other Loan Document, or a mutual departure from the strict terms, provisions, and conditions thereof and (ii) nothing in this Amendment and Restatement shall affect or limit the Administrative Agent’s or Lenders’ right to demand payment of liabilities owing from Borrower to Administrative Agent or the Lenders under, or to demand strict performance of the terms, provisions and conditions of, the Amended and Restated Credit Agreement and the other Loan Documents, to exercise any and all rights, powers, and remedies under the Amended and Restated Credit Agreement or the other Loan Documents or at law or in equity, or to do any and all of the foregoing, immediately at any time after the occurrence and continuance of an Event of Default under the Amended and Restated Credit Agreement or the other Loan Documents.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22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 and each other Loan Party hereby (i) reaffirms its obligations under the Amended and Restated Credit Agreement, each other Amended Document and each other Loan Document to which it is a party, in each case as amended by this Amendment and Restatement, (ii) reaffirms all Liens on the Collateral which have been granted by it in favor of the Administrative Agent (for the benefit of the Secured Parties) pursuant to the Loan Documents and (iii) acknowledges and agrees that the grants of security interests by and the guarantees of the Loan Parties contained in the Loan Documents are, and shall remain, in full force and effect immediately after giving effect to this Amendment and Restatement.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1304"/>
        <w:spacing w:after="0" w:line="256" w:lineRule="auto"/>
        <w:tabs>
          <w:tab w:leader="none" w:pos="261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this Amendment and Restatement and the effectiveness of the Amended and Restated Credit Agreement and the other Amended Documents, neither the modification of the Original Credit Agreement or the other Loan Documents effected pursuant to this Amendment and Restatement, the Amended and Restated Credit Agreement and the other Amended Documents nor the execution, delivery, performance or effectiveness of this Amendment and Restatement, the Amended and Restated Credit Agreement or the other Amended Documents impairs the validity, effectiveness or priority of the Liens granted pursuant to any Loan Document, and such Liens continue unimpaired with the same priority to secure repayment of all Secured Obligations, whether heretofore or hereafter incurred.</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Borrower hereby agrees to pay or reimburse the Administrative Agent for its reasonable and documented out-of-pocket costs and expenses incurred in connection with this Amendment and Restatement in accordance with, and to the extent required by, the terms and conditions of Section 9.03 of the Credit Agreement, including the fees, charges and disbursements of Weil, Gotshal &amp; Manges LLP, as counsel to the Administrative Agent and the Lenders.</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Amendment and Restatement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and Restatement by telecopy, emailed .pdf or any other electronic means that reproduces an image of the actual executed signature page shall be effective as delivery of a manually executed counterpart of this Amendment and Restatement. The words “execution,” “signed,” “signature,” “delivery,” and words of like import in or relating to any document to be signed in connection with this Amendment and Restatement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220" w:hanging="916"/>
        <w:spacing w:after="0"/>
        <w:tabs>
          <w:tab w:leader="none" w:pos="2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Restatement shall be governed by and construed in accordance with the laws of the State of New York</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30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hereby irrevocably and unconditionally submits, for itself and its property, to the exclusive jurisdiction of any U.S. Federal or New York State court sitting in New York, New York in any action or proceeding arising out of or relating to this Amendment and Restatement or the transactions contemplated hereby,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Amendment and Restatement shall affect any right that the Administrative Agent or any Lender may otherwise have to bring any action or proceeding relating to this Amendment and Restatement or the transactions contemplated hereby against any Loan Party or its properties in the courts of any jurisdiction.</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1304"/>
        <w:spacing w:after="0" w:line="261" w:lineRule="auto"/>
        <w:tabs>
          <w:tab w:leader="none" w:pos="235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Party hereby irrevocably and unconditionally waives, to the fullest extent it may legally and effectively do so, any objection which it may now or hereafter have to the laying of venue of any suit, action or proceeding arising out of or relating to this Amendment and Restatement and the transactions contemplated hereby in any court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Each of the parties hereto hereby irrevocably waives, to the fullest extent permitted by law, the defense of an inconvenient forum to the maintenance of such action or proceeding in any such court.</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HERETO HEREBY WAIVES, TO THE FULLEST EXTENT PERMITTED BY APPLICABLE LAW, ANY RIGHT IT MAY HAVE TO A TRIAL BY JURY IN ANY LEGAL PROCEEDING DIRECTLY OR INDIRECTLY ARISING OUT OF OR RELATING TO THIS AMENDMENT AND RESTATEMENT OR THE TRANSACTIONS CONTEMPLATED HEREBY (WHETHER BASED ON CONTRACT, TORT OR ANY OTHER THEORY). EACH PARTY HERETO (A) CERTIFIES THAT NO REPRESENTATIVE,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AMENDMENT AND RESTATEMENT BY, AMONG OTHER THINGS, THE MUTUAL WAIVERS AND CERTIFICATIONS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herein are included for convenience of reference only and shall not affect the interpretation of this Amendment and Restatement.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Amendment and Restatement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22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and Restatement amends and restates the Original Credit Agreement in its entirety, with the parties hereby agreeing that (i) there is no novation of the Original Credit Agreement and (ii) from and after the Amendment and Restatement Effective Date, the rights and obligations of the parties under the Original Credit Agreement shall be subsumed and governed by the Amended and Restated Credit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22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that is party hereto hereby acknowledges that it has reviewed the terms and provisions of this Amendment and Restatement, the Amended and Restated Credit Agreement and the other Amended Documents and consents to the amendment and restatement of the Original Credit Agreement and the other Amended Documents effected pursuant to this Amendment and Restatement. Notwithstanding anything to the contrary herein, each Loan Party that is party hereto acknowledges and agrees that (i) to the extent not amended and restated in connection herewith, each Loan Document to which it is a party or otherwise bound shall continue in full force and effect in accordance with its terms, (ii) all of its obligations under such Loan Documents shall be valid and enforceable and shall not be impaired or limited by the execution or effectiveness of this Amendment and Restatement, (iii) the Obligations (as defined in the Original Credit Agreement) of the Borrowers and the other Loan Parties under the Original Credit Agreement and the other Loan Documents (in each case, as further amended from time to time) that remain unpaid and outstanding as of the Amendment and Restatement Effective Date shall continue to exist under and be evidenced by the Amended and Restated Credit Agreement and the other Loan Documents, (iv) all “Letters of Credit” (under and as defined in the Original Credit Agreement) existing immediately prior to the Amendment and Restatement Effective Date shall continue as Letters of Credit under the Amended and Restated Credit Agreement and (v) the Collateral and the Loan Documents shall continue to secure, guarantee, support and otherwise benefit the Secured Obligations (as defined in the Original Credit Agreement) and the Secured Obligations of the Borrower and the other Loan Parties under the Amended and Restated Credit Agreement, the other Amended Documents and the other Loan Documents, in each case, as amended hereby.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and Restatement to be executed by their respective officers thereunto duly authorized, as of the date first above written.</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EXLSERVICE HOLDINGS,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Maurizio Nicolelli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EXLSERVICE.COM,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Loan Guarantor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Maurizio Nicolelli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EXLSERVICE TECHNOLOGY SOLUTIONS,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Loan Guarantor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Maurizio Nicolelli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BUSINESS PROCESS OUTSOURCING,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Loan Guarantor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Maurizio Nicolelli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OUTSOURCE PARTNERS INTERNATIONAL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Loan Guarantor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Maurizio Nicolelli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and Restatement (EXL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4500"/>
        <w:spacing w:after="0"/>
        <w:rPr>
          <w:sz w:val="20"/>
          <w:szCs w:val="20"/>
          <w:color w:val="auto"/>
        </w:rPr>
      </w:pPr>
      <w:r>
        <w:rPr>
          <w:rFonts w:ascii="Times New Roman" w:cs="Times New Roman" w:eastAsia="Times New Roman" w:hAnsi="Times New Roman"/>
          <w:sz w:val="18"/>
          <w:szCs w:val="18"/>
          <w:b w:val="1"/>
          <w:bCs w:val="1"/>
          <w:color w:val="auto"/>
        </w:rPr>
        <w:t>OVERLAND SOLUTIONS,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Loan Guarantor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Maurizio Nicolelli</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CLAIRVOYANT AI,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Loan Guarantor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Maurizio Nicolelli</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Amendment and Restatement (EXL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 w:name="page13"/>
    <w:bookmarkEnd w:id="12"/>
    <w:p>
      <w:pPr>
        <w:ind w:left="450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individually as a Lender and as Administrative Agent</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Tony Sood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Tony Sood</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Amendment and Restatement (EXL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3" w:name="page14"/>
    <w:bookmarkEnd w:id="13"/>
    <w:p>
      <w:pPr>
        <w:ind w:left="4500"/>
        <w:spacing w:after="0"/>
        <w:rPr>
          <w:sz w:val="20"/>
          <w:szCs w:val="20"/>
          <w:color w:val="auto"/>
        </w:rPr>
      </w:pPr>
      <w:r>
        <w:rPr>
          <w:rFonts w:ascii="Times New Roman" w:cs="Times New Roman" w:eastAsia="Times New Roman" w:hAnsi="Times New Roman"/>
          <w:sz w:val="17"/>
          <w:szCs w:val="17"/>
          <w:b w:val="1"/>
          <w:bCs w:val="1"/>
          <w:color w:val="auto"/>
        </w:rPr>
        <w:t>PNC BANK, NATIONAL ASSOCIATION,</w:t>
      </w:r>
    </w:p>
    <w:p>
      <w:pPr>
        <w:spacing w:after="0" w:line="4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Zingaro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Robert Zingaro</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Amendment and Restatement (EXL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4" w:name="page15"/>
    <w:bookmarkEnd w:id="14"/>
    <w:p>
      <w:pPr>
        <w:ind w:left="450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Jana L. Baker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Jana L. Baker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9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[Signature Page to Amendment and Restatement (EXL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5" w:name="page16"/>
    <w:bookmarkEnd w:id="15"/>
    <w:p>
      <w:pPr>
        <w:ind w:left="4500"/>
        <w:spacing w:after="0"/>
        <w:rPr>
          <w:sz w:val="20"/>
          <w:szCs w:val="20"/>
          <w:color w:val="auto"/>
        </w:rPr>
      </w:pPr>
      <w:r>
        <w:rPr>
          <w:rFonts w:ascii="Times New Roman" w:cs="Times New Roman" w:eastAsia="Times New Roman" w:hAnsi="Times New Roman"/>
          <w:sz w:val="18"/>
          <w:szCs w:val="18"/>
          <w:b w:val="1"/>
          <w:bCs w:val="1"/>
          <w:color w:val="auto"/>
        </w:rPr>
        <w:t>TD BANK, N.A.</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 Bernadette Collins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 Bernadette Collins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SVP</w:t>
            </w:r>
          </w:p>
        </w:tc>
      </w:tr>
    </w:tbl>
    <w:p>
      <w:pPr>
        <w:spacing w:after="0" w:line="19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[Signature Page to Amendment and Restatement (EXL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6" w:name="page17"/>
    <w:bookmarkEnd w:id="16"/>
    <w:p>
      <w:pPr>
        <w:ind w:left="4500"/>
        <w:spacing w:after="0"/>
        <w:rPr>
          <w:sz w:val="20"/>
          <w:szCs w:val="20"/>
          <w:color w:val="auto"/>
        </w:rPr>
      </w:pPr>
      <w:r>
        <w:rPr>
          <w:rFonts w:ascii="Times New Roman" w:cs="Times New Roman" w:eastAsia="Times New Roman" w:hAnsi="Times New Roman"/>
          <w:sz w:val="18"/>
          <w:szCs w:val="18"/>
          <w:b w:val="1"/>
          <w:bCs w:val="1"/>
          <w:color w:val="auto"/>
        </w:rPr>
        <w:t>HSBC BANK USA, N.A.</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Kyle O’Reilly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Kyle O’Reilly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Amendment and Restatement (EXL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7" w:name="page18"/>
    <w:bookmarkEnd w:id="17"/>
    <w:p>
      <w:pPr>
        <w:ind w:left="450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Gina Franceschini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Gina Franceschini</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Amendment and Restatement (EXL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2800" w:type="dxa"/>
            <w:vAlign w:val="bottom"/>
            <w:gridSpan w:val="3"/>
          </w:tcPr>
          <w:p>
            <w:pPr>
              <w:jc w:val="right"/>
              <w:ind w:right="1236"/>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500" w:type="dxa"/>
            <w:vAlign w:val="bottom"/>
            <w:gridSpan w:val="4"/>
          </w:tcPr>
          <w:p>
            <w:pPr>
              <w:jc w:val="right"/>
              <w:ind w:right="356"/>
              <w:spacing w:after="0"/>
              <w:rPr>
                <w:sz w:val="20"/>
                <w:szCs w:val="20"/>
                <w:color w:val="auto"/>
              </w:rPr>
            </w:pPr>
            <w:r>
              <w:rPr>
                <w:rFonts w:ascii="Times New Roman" w:cs="Times New Roman" w:eastAsia="Times New Roman" w:hAnsi="Times New Roman"/>
                <w:sz w:val="18"/>
                <w:szCs w:val="18"/>
                <w:color w:val="auto"/>
              </w:rPr>
              <w:t>NEW REVOLVING COMMITMENTS</w:t>
            </w: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Lender</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Commitments</w:t>
            </w:r>
          </w:p>
        </w:tc>
      </w:tr>
      <w:tr>
        <w:trPr>
          <w:trHeight w:val="223"/>
        </w:trPr>
        <w:tc>
          <w:tcPr>
            <w:tcW w:w="4700" w:type="dxa"/>
            <w:vAlign w:val="bottom"/>
            <w:tcBorders>
              <w:top w:val="single" w:sz="8" w:color="auto"/>
            </w:tcBorders>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9"/>
              </w:rPr>
              <w:t>Citibank, N.A.</w:t>
            </w: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1596"/>
              <w:spacing w:after="0"/>
              <w:rPr>
                <w:sz w:val="20"/>
                <w:szCs w:val="20"/>
                <w:color w:val="auto"/>
              </w:rPr>
            </w:pPr>
            <w:r>
              <w:rPr>
                <w:rFonts w:ascii="Times New Roman" w:cs="Times New Roman" w:eastAsia="Times New Roman" w:hAnsi="Times New Roman"/>
                <w:sz w:val="17"/>
                <w:szCs w:val="17"/>
                <w:color w:val="auto"/>
                <w:w w:val="70"/>
              </w:rPr>
              <w:t>$</w:t>
            </w:r>
          </w:p>
        </w:tc>
        <w:tc>
          <w:tcPr>
            <w:tcW w:w="3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470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PNC Bank, National Association</w:t>
            </w:r>
          </w:p>
        </w:tc>
        <w:tc>
          <w:tcPr>
            <w:tcW w:w="2800" w:type="dxa"/>
            <w:vAlign w:val="bottom"/>
            <w:gridSpan w:val="3"/>
          </w:tcPr>
          <w:p>
            <w:pPr>
              <w:jc w:val="right"/>
              <w:ind w:right="1596"/>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75,000,000</w:t>
            </w:r>
          </w:p>
        </w:tc>
      </w:tr>
      <w:tr>
        <w:trPr>
          <w:trHeight w:val="230"/>
        </w:trPr>
        <w:tc>
          <w:tcPr>
            <w:tcW w:w="470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9"/>
              </w:rPr>
              <w:t>TD Bank, N.A.</w:t>
            </w:r>
          </w:p>
        </w:tc>
        <w:tc>
          <w:tcPr>
            <w:tcW w:w="2800" w:type="dxa"/>
            <w:vAlign w:val="bottom"/>
            <w:gridSpan w:val="3"/>
            <w:shd w:val="clear" w:color="auto" w:fill="CCEEFF"/>
          </w:tcPr>
          <w:p>
            <w:pPr>
              <w:jc w:val="right"/>
              <w:ind w:right="1596"/>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75,000,000</w:t>
            </w:r>
          </w:p>
        </w:tc>
      </w:tr>
      <w:tr>
        <w:trPr>
          <w:trHeight w:val="229"/>
        </w:trPr>
        <w:tc>
          <w:tcPr>
            <w:tcW w:w="470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HSBC Bank USA, National Association</w:t>
            </w:r>
          </w:p>
        </w:tc>
        <w:tc>
          <w:tcPr>
            <w:tcW w:w="2800" w:type="dxa"/>
            <w:vAlign w:val="bottom"/>
            <w:gridSpan w:val="3"/>
          </w:tcPr>
          <w:p>
            <w:pPr>
              <w:jc w:val="right"/>
              <w:ind w:right="1596"/>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75,000,000</w:t>
            </w:r>
          </w:p>
        </w:tc>
      </w:tr>
      <w:tr>
        <w:trPr>
          <w:trHeight w:val="229"/>
        </w:trPr>
        <w:tc>
          <w:tcPr>
            <w:tcW w:w="470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JPMorgan Chase Bank, N.A.</w:t>
            </w:r>
          </w:p>
        </w:tc>
        <w:tc>
          <w:tcPr>
            <w:tcW w:w="2800" w:type="dxa"/>
            <w:vAlign w:val="bottom"/>
            <w:gridSpan w:val="3"/>
            <w:shd w:val="clear" w:color="auto" w:fill="CCEEFF"/>
          </w:tcPr>
          <w:p>
            <w:pPr>
              <w:jc w:val="right"/>
              <w:ind w:right="1596"/>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50,000,000</w:t>
            </w:r>
          </w:p>
        </w:tc>
      </w:tr>
      <w:tr>
        <w:trPr>
          <w:trHeight w:val="230"/>
        </w:trPr>
        <w:tc>
          <w:tcPr>
            <w:tcW w:w="47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Bank of America, N.A.</w:t>
            </w:r>
          </w:p>
        </w:tc>
        <w:tc>
          <w:tcPr>
            <w:tcW w:w="2800" w:type="dxa"/>
            <w:vAlign w:val="bottom"/>
            <w:gridSpan w:val="3"/>
          </w:tcPr>
          <w:p>
            <w:pPr>
              <w:jc w:val="right"/>
              <w:ind w:right="1596"/>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50,000,000</w:t>
            </w:r>
          </w:p>
        </w:tc>
      </w:tr>
      <w:tr>
        <w:trPr>
          <w:trHeight w:val="209"/>
        </w:trPr>
        <w:tc>
          <w:tcPr>
            <w:tcW w:w="4700" w:type="dxa"/>
            <w:vAlign w:val="bottom"/>
            <w:tcBorders>
              <w:top w:val="single" w:sz="8" w:color="CCEEFF"/>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ind w:right="15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668"/>
        </w:trPr>
        <w:tc>
          <w:tcPr>
            <w:tcW w:w="4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199390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225425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422275</wp:posOffset>
            </wp:positionV>
            <wp:extent cx="1285875"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587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AMENDED AND RESTATED CREDIT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April 18, 2022</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other Loan Parties party hereto,</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177165</wp:posOffset>
            </wp:positionV>
            <wp:extent cx="1783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left="1580" w:right="2700"/>
        <w:spacing w:after="0" w:line="266" w:lineRule="auto"/>
        <w:rPr>
          <w:sz w:val="20"/>
          <w:szCs w:val="20"/>
          <w:color w:val="auto"/>
        </w:rPr>
      </w:pPr>
      <w:r>
        <w:rPr>
          <w:rFonts w:ascii="Times New Roman" w:cs="Times New Roman" w:eastAsia="Times New Roman" w:hAnsi="Times New Roman"/>
          <w:sz w:val="18"/>
          <w:szCs w:val="18"/>
          <w:color w:val="auto"/>
        </w:rPr>
        <w:t>CITIBANK, N.A., PNC BANK, NATIONAL ASSOCIATION, TD BANK, N.A. and HSBC BANK USA, NATIONAL ASSOCIATION, as Joint Lead Arrangers,</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CITIBANK, N.A. and PNC BANK, NATIONAL ASSOCIATION,</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Joint Bookrunners,</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JPMORGAN CHASE BANK, N.A. and BANK OF AMERICA, N.A.,</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Syndication Agents and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314325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22"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738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20" w:type="dxa"/>
            <w:vAlign w:val="bottom"/>
          </w:tcPr>
          <w:p>
            <w:pPr>
              <w:spacing w:after="0"/>
              <w:rPr>
                <w:sz w:val="20"/>
                <w:szCs w:val="20"/>
                <w:color w:val="auto"/>
              </w:rPr>
            </w:pPr>
          </w:p>
        </w:tc>
      </w:tr>
      <w:tr>
        <w:trPr>
          <w:trHeight w:val="432"/>
        </w:trPr>
        <w:tc>
          <w:tcPr>
            <w:tcW w:w="134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ARTICLE I</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1.01</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Defined Terms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1.02   Classification of Loans and Borrowings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1.03</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Terms Generally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1.04  Accounting Terms; GAAP</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1.05   Status of Obligations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1.06</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1.07</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Divisions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CREDITS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0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2.01</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Commitments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2.02   Loans and Borrowings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2.03   Requests for Borrowings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2.04</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2.05</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2.06   Letters of Credit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2.07   Funding of Borrowings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2.08</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Elections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2.09   Termination and Reduction of Commitments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2.10   Repayment of Loans; Evidence of Debt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2.11   Prepayment of Loans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2.12</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2.13</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2.14  Alternate Rate of Interest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2.15</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Increased Costs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2.16   Break Funding Payments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2.17   Withholding of Taxes; Gross-Up</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2.18   Payments Generally; Allocation of Proceeds; Sharing of Setoffs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2.19   Mitigation Obligations; Replacement of Lenders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2.20</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Defaulting Lenders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2.21</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Returned Payments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2.22  Amend and Extend Transactions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2.23   Increase of Commitments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2.24   Banking Services and Swap Agreements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2.25   Benchmark Replacement Setting</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0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3.01</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Organization; Powers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3.02</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3.03   Governmental Approvals; No Conflicts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3.04   Financial Condition; No Material Adverse Change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3.05</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738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spacing w:after="0"/>
              <w:rPr>
                <w:sz w:val="20"/>
                <w:szCs w:val="20"/>
                <w:color w:val="auto"/>
              </w:rPr>
            </w:pPr>
          </w:p>
        </w:tc>
        <w:tc>
          <w:tcPr>
            <w:tcW w:w="738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3.06   Litigation and Environmental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3.07   Compliance with Laws and Agreements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3.08   Investment Company Status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3.09</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3.10</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ERISA</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3.11</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Disclosure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3.12   Capitalization and Subsidiaries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3.13   Security Interest in Collateral</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3.14   Federal Reserve Regulations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3.15  Anti-Corruption Laws and Sanctions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3.16</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Enterprise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4"/>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3.17   Not an Affected Financial Institution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4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30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4.01   Conditions to Initial Loans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4"/>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4.02   Each Credit Event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4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AFFIRMATIVE COVENANTS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30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5.01   Financial Statements and Other Information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5.02   Notices of Material Events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5.03   Existence; Conduct of Business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5.04   Payment of Taxes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5.05   Maintenance of Properties; Insurance; Casualty and Condemnation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5.06   Books and Records; Inspection Rights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5.07   Compliance with Laws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5.08   Use of Proceeds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5.09  Additional Collateral; Further Assurances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4"/>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5.10  Anti-Corruption Laws and Sanctions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4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NEGATIVE COVENANTS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0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6.01</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Indebtedness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6.02</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Liens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6.03</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Fundamental Changes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6.04   Investments, Loans, Advances, Guarantees and Acquisitions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6.05  Asset Dispositions; Sale and Leaseback Transactions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6.06</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Swap Agreements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6.07</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Payments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6.08   Transactions with Affiliates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6.09</w:t>
            </w: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Restrictive Agreements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6.10  Amendment of Material Documents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4"/>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6.11</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Covenants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810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810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EVENTS OF DEFAULT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54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ADMINISTRATIVE AGENT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30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8.01</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Appointment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8.02</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 as a Lender</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8.03</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Duties and Obligations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8.04</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Reliance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9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8.05  Actions through Sub-Agents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8.06</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Resignation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8.07</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Non-Reliance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8.08</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 Partners or Co-Venturers; Administrative Agent as Representative of the Secured Parties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8.09</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Lenders Not Subject to ERISA</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8.10</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Erroneous Payment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4"/>
        </w:trPr>
        <w:tc>
          <w:tcPr>
            <w:tcW w:w="9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8.11   Syndication Agents and Documentation Agents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43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ARTICLE IX</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MISCELLANEOUS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30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9.01</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9.02</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Waivers; Amendments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9.03</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9.04</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 and Assigns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9.05</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Survival</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9.06</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 Integration; Effectiveness; Electronic Execution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9.07</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9.08</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of Setoff</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9.09</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9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9.10   WAIVER OF JURY TRIAL</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9.11</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Headings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9.12</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9.13</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Several Obligations; Nonreliance; Violation of Law</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9.14</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USA PATRIOT Act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9.15</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Disclosure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9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9.16  Appointment for Perfection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9.17</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Rate Limitation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9.18</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9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9.19  Acknowledgement and Consent to Bail-In of Affected Financial Institutions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4"/>
        </w:trPr>
        <w:tc>
          <w:tcPr>
            <w:tcW w:w="9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9.20  Acknowledgment Regarding any Supported QFCs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43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ARTICLE X</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 GUARANTY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30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10.01</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10.02</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Guaranty of Payment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10.03</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Discharge or Diminishment of Loan Guaranty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4"/>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10.04</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Defenses Waived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80" w:type="dxa"/>
            <w:vAlign w:val="bottom"/>
          </w:tcPr>
          <w:p>
            <w:pPr>
              <w:jc w:val="right"/>
              <w:ind w:right="457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216"/>
        </w:trPr>
        <w:tc>
          <w:tcPr>
            <w:tcW w:w="10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80" w:type="dxa"/>
            <w:vAlign w:val="bottom"/>
          </w:tcPr>
          <w:p>
            <w:pPr>
              <w:jc w:val="right"/>
              <w:ind w:right="5090"/>
              <w:spacing w:after="0"/>
              <w:rPr>
                <w:sz w:val="20"/>
                <w:szCs w:val="20"/>
                <w:color w:val="auto"/>
              </w:rPr>
            </w:pPr>
            <w:r>
              <w:rPr>
                <w:rFonts w:ascii="Times New Roman" w:cs="Times New Roman" w:eastAsia="Times New Roman" w:hAnsi="Times New Roman"/>
                <w:sz w:val="18"/>
                <w:szCs w:val="18"/>
                <w:b w:val="1"/>
                <w:bCs w:val="1"/>
                <w:color w:val="auto"/>
              </w:rPr>
              <w:t>(continued)</w:t>
            </w:r>
          </w:p>
        </w:tc>
      </w:tr>
      <w:tr>
        <w:trPr>
          <w:trHeight w:val="238"/>
        </w:trPr>
        <w:tc>
          <w:tcPr>
            <w:tcW w:w="10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10.05  Rights of Subrogation</w:t>
            </w:r>
          </w:p>
        </w:tc>
        <w:tc>
          <w:tcPr>
            <w:tcW w:w="6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10.06  Reinstatement; Stay of Acceleration</w:t>
            </w:r>
          </w:p>
        </w:tc>
        <w:tc>
          <w:tcPr>
            <w:tcW w:w="6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10.07</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Information</w:t>
            </w:r>
          </w:p>
        </w:tc>
        <w:tc>
          <w:tcPr>
            <w:tcW w:w="6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10.08</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6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10.09</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6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Maximum Liability</w:t>
            </w:r>
          </w:p>
        </w:tc>
        <w:tc>
          <w:tcPr>
            <w:tcW w:w="6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10.11</w:t>
            </w:r>
          </w:p>
        </w:tc>
        <w:tc>
          <w:tcPr>
            <w:tcW w:w="2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Contribution</w:t>
            </w:r>
          </w:p>
        </w:tc>
        <w:tc>
          <w:tcPr>
            <w:tcW w:w="6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Liability Cumulative</w:t>
            </w:r>
          </w:p>
        </w:tc>
        <w:tc>
          <w:tcPr>
            <w:tcW w:w="6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Keepwell</w:t>
            </w:r>
          </w:p>
        </w:tc>
        <w:tc>
          <w:tcPr>
            <w:tcW w:w="6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10.14  Amendment and Restatement</w:t>
            </w:r>
          </w:p>
        </w:tc>
        <w:tc>
          <w:tcPr>
            <w:tcW w:w="6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200" w:lineRule="exact"/>
        <w:rPr>
          <w:sz w:val="20"/>
          <w:szCs w:val="20"/>
          <w:color w:val="auto"/>
        </w:rPr>
      </w:pPr>
    </w:p>
    <w:p>
      <w:pPr>
        <w:spacing w:after="0" w:line="21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2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SCHEDULES:</w:t>
            </w:r>
          </w:p>
        </w:tc>
        <w:tc>
          <w:tcPr>
            <w:tcW w:w="560" w:type="dxa"/>
            <w:vAlign w:val="bottom"/>
          </w:tcPr>
          <w:p>
            <w:pPr>
              <w:spacing w:after="0"/>
              <w:rPr>
                <w:sz w:val="17"/>
                <w:szCs w:val="17"/>
                <w:color w:val="auto"/>
              </w:rPr>
            </w:pPr>
          </w:p>
        </w:tc>
        <w:tc>
          <w:tcPr>
            <w:tcW w:w="8120" w:type="dxa"/>
            <w:vAlign w:val="bottom"/>
          </w:tcPr>
          <w:p>
            <w:pPr>
              <w:spacing w:after="0"/>
              <w:rPr>
                <w:sz w:val="17"/>
                <w:szCs w:val="17"/>
                <w:color w:val="auto"/>
              </w:rPr>
            </w:pPr>
          </w:p>
        </w:tc>
      </w:tr>
      <w:tr>
        <w:trPr>
          <w:trHeight w:val="20"/>
        </w:trPr>
        <w:tc>
          <w:tcPr>
            <w:tcW w:w="104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r>
        <w:trPr>
          <w:trHeight w:val="453"/>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 Schedule</w:t>
            </w:r>
          </w:p>
        </w:tc>
        <w:tc>
          <w:tcPr>
            <w:tcW w:w="8120" w:type="dxa"/>
            <w:vAlign w:val="bottom"/>
          </w:tcPr>
          <w:p>
            <w:pPr>
              <w:spacing w:after="0"/>
              <w:rPr>
                <w:sz w:val="24"/>
                <w:szCs w:val="24"/>
                <w:color w:val="auto"/>
              </w:rPr>
            </w:pPr>
          </w:p>
        </w:tc>
      </w:tr>
      <w:tr>
        <w:trPr>
          <w:trHeight w:val="41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1.01</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Subordination Terms</w:t>
            </w: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3.12</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 and Subsidiaries</w:t>
            </w: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6.01</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6.04</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6.08</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23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6.09</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Restrictive Agreements</w:t>
            </w:r>
          </w:p>
        </w:tc>
      </w:tr>
      <w:tr>
        <w:trPr>
          <w:trHeight w:val="418"/>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EXHIBITS:</w:t>
            </w:r>
          </w:p>
        </w:tc>
        <w:tc>
          <w:tcPr>
            <w:tcW w:w="560" w:type="dxa"/>
            <w:vAlign w:val="bottom"/>
          </w:tcPr>
          <w:p>
            <w:pPr>
              <w:spacing w:after="0"/>
              <w:rPr>
                <w:sz w:val="24"/>
                <w:szCs w:val="24"/>
                <w:color w:val="auto"/>
              </w:rPr>
            </w:pPr>
          </w:p>
        </w:tc>
        <w:tc>
          <w:tcPr>
            <w:tcW w:w="8120" w:type="dxa"/>
            <w:vAlign w:val="bottom"/>
          </w:tcPr>
          <w:p>
            <w:pPr>
              <w:spacing w:after="0"/>
              <w:rPr>
                <w:sz w:val="24"/>
                <w:szCs w:val="24"/>
                <w:color w:val="auto"/>
              </w:rPr>
            </w:pPr>
          </w:p>
        </w:tc>
      </w:tr>
      <w:tr>
        <w:trPr>
          <w:trHeight w:val="434"/>
        </w:trPr>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A</w:t>
            </w:r>
          </w:p>
        </w:tc>
        <w:tc>
          <w:tcPr>
            <w:tcW w:w="240" w:type="dxa"/>
            <w:vAlign w:val="bottom"/>
          </w:tcPr>
          <w:p>
            <w:pPr>
              <w:spacing w:after="0"/>
              <w:rPr>
                <w:sz w:val="24"/>
                <w:szCs w:val="24"/>
                <w:color w:val="auto"/>
              </w:rPr>
            </w:pP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Joinder Agreement</w:t>
            </w: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 - 1</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Tax Certificate (For Foreign Lenders that are not Partnerships for U.S. Federal Income Tax Purposes)</w:t>
            </w: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 - 2</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U.S. Tax Certificate (For Foreign Participants that are not Partnerships for U.S. Federal Income Tax Purposes)</w:t>
            </w: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 - 3</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Tax Certificate (For Foreign Participants that are Partnerships for U.S. Federal Income Tax Purposes)</w:t>
            </w: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 - 4</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Tax Certificate (For Foreign Lenders that are Partnerships for U.S. Federal Income Tax Purposes)</w:t>
            </w: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F</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Borrowing Request</w:t>
            </w:r>
          </w:p>
        </w:tc>
      </w:tr>
      <w:tr>
        <w:trPr>
          <w:trHeight w:val="23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G</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Notice of Continuation/Conversion</w:t>
            </w:r>
          </w:p>
        </w:tc>
      </w:tr>
    </w:tbl>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26" w:name="page27"/>
    <w:bookmarkEnd w:id="2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AMENDED AND RESTATED CREDIT AGREEMENT, dated as of April 18, 2022 (as it may be amended, restated, amended and restated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EXLSERVICE HOLDINGS, INC., as the Borrower, the other Loan Parties party hereto from time to time, the Lenders party hereto from time to time, the Issuing Banks party hereto from time to time, and CITIBANK, N.A., as the Administrative Agent.</w:t>
      </w:r>
    </w:p>
    <w:p>
      <w:pPr>
        <w:spacing w:after="0" w:line="18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u w:val="single" w:color="auto"/>
          <w:color w:val="auto"/>
        </w:rPr>
        <w:t>PRELIMINARY STATEMENTS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Borrower, the Loan Parties, the lenders party thereto and Citibank N.A., as administrative agent, are parties to the Credit Agreement, dated as of November 1, 2017 (as amended by the First Amendment to Credit Agreement, dated as of July 2, 2018, by that Second Amendment to Credit Agreement, dated as of October 1, 2018, and by the Third Amendment to Credit Agreement, dated as of April 16, 2021, and as further amended, restated, amended and restated, supplemented or otherwise modified prior to giving effect to this Agreement on the date hereof, the “</w:t>
      </w:r>
      <w:r>
        <w:rPr>
          <w:rFonts w:ascii="Times New Roman" w:cs="Times New Roman" w:eastAsia="Times New Roman" w:hAnsi="Times New Roman"/>
          <w:sz w:val="18"/>
          <w:szCs w:val="18"/>
          <w:u w:val="single" w:color="auto"/>
          <w:color w:val="auto"/>
        </w:rPr>
        <w:t>Original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Borrower and the other Loan Parties have requested that the Lenders as of the date hereof agree to amend and restate the Original Credit Agreement in its entirety, and the Lenders and the Issuing banks have indicated their willingness to provide Commitments and Letters of Credit, as applicable, and amend and restate the Original Credit Agreement in its entirety, in each case, on the terms and subject to the conditions set forth herein and in the Amendment and Restatement Agreement, dated as of April 18, 2022 (the “</w:t>
      </w:r>
      <w:r>
        <w:rPr>
          <w:rFonts w:ascii="Times New Roman" w:cs="Times New Roman" w:eastAsia="Times New Roman" w:hAnsi="Times New Roman"/>
          <w:sz w:val="18"/>
          <w:szCs w:val="18"/>
          <w:u w:val="single" w:color="auto"/>
          <w:color w:val="auto"/>
        </w:rPr>
        <w:t>Amendment and Restatement</w:t>
      </w:r>
      <w:r>
        <w:rPr>
          <w:rFonts w:ascii="Times New Roman" w:cs="Times New Roman" w:eastAsia="Times New Roman" w:hAnsi="Times New Roman"/>
          <w:sz w:val="18"/>
          <w:szCs w:val="18"/>
          <w:color w:val="auto"/>
        </w:rPr>
        <w:t>”), by and among the Borrower, the other Loan Parties, the Lenders and the Administrative Agent.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the parties hereto agree that the Original Credit Agreement shall be amended and restated in its entirety to read as set forth 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As used in this Agreement, the following terms have the meanings specified below: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xml:space="preserve">” means any transaction or series of related transactions for the purpose of or resulting, directly or indirectly, in (a) the acquisition of all or substantially all of the assets of a Person, or of any business or division of a Person, (b) the acquisition of in excess of 50% of the Equity Interests of any Person, or otherwise causing any Person to become a Subsidiary, or (c) a merger, amalgamation or consolidation or any other combination with another Person (other than a Person that is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applicable Loan Party is the surviving entity.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Covenant Period</w:t>
      </w:r>
      <w:r>
        <w:rPr>
          <w:rFonts w:ascii="Times New Roman" w:cs="Times New Roman" w:eastAsia="Times New Roman" w:hAnsi="Times New Roman"/>
          <w:sz w:val="18"/>
          <w:szCs w:val="18"/>
          <w:color w:val="auto"/>
        </w:rPr>
        <w:t>” has the meaning assigned to such term in Section 6.11(b).</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w:t>
      </w:r>
      <w:r>
        <w:rPr>
          <w:rFonts w:ascii="Times New Roman" w:cs="Times New Roman" w:eastAsia="Times New Roman" w:hAnsi="Times New Roman"/>
          <w:sz w:val="18"/>
          <w:szCs w:val="18"/>
          <w:color w:val="auto"/>
        </w:rPr>
        <w:t xml:space="preserve">” means, for purposes of any calculation, the rate per annum equal to (a) Term SOFR for such calculation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Term SOFR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Adjusted Term SOFR as so determined shall ever be less than the Floor, then Adjusted Term SOFR shall be deemed to be the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Citibank, N.A., in its capacity as administrative agent for the Lenders 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Institutions</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specified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Credit Exposure</w:t>
      </w:r>
      <w:r>
        <w:rPr>
          <w:rFonts w:ascii="Times New Roman" w:cs="Times New Roman" w:eastAsia="Times New Roman" w:hAnsi="Times New Roman"/>
          <w:sz w:val="18"/>
          <w:szCs w:val="18"/>
          <w:color w:val="auto"/>
        </w:rPr>
        <w:t>” means, at any time, the aggregate Credit Exposure of all the Lenders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introductory paragraph.</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Federal Funds Effective Rate in effect on such day plus ½ of 1% and (c) Adjusted Term SOFR for one month tenor in effect on such day plus 1%. Any change in the Alternate Base Rate due to a change in the Prime Rate, the Federal Funds Effective Rate or Adjusted Term SOFR shall be effective from and including the effective date of such change in the Prime Rate, the Federal Funds Effective Rate or Adjusted Term SOFR, respectively. If the Alternate Base Rate is being used as an alternate rate of interest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hereof, then the Alternate Base Rate shall be the greater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and shall be determined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In the event that that the Alternate Base Rate is less than zero, it shall be deemed to be zero for purposes of this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and Restatement</w:t>
      </w:r>
      <w:r>
        <w:rPr>
          <w:rFonts w:ascii="Times New Roman" w:cs="Times New Roman" w:eastAsia="Times New Roman" w:hAnsi="Times New Roman"/>
          <w:sz w:val="18"/>
          <w:szCs w:val="18"/>
          <w:color w:val="auto"/>
        </w:rPr>
        <w:t>” has the meaning assigned to such term in the preliminary statements to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and Restatement Effective Date</w:t>
      </w:r>
      <w:r>
        <w:rPr>
          <w:rFonts w:ascii="Times New Roman" w:cs="Times New Roman" w:eastAsia="Times New Roman" w:hAnsi="Times New Roman"/>
          <w:sz w:val="18"/>
          <w:szCs w:val="18"/>
          <w:color w:val="auto"/>
        </w:rPr>
        <w:t>” means the date on which the conditions to effectiveness of the Amendment and Restatement were first satisfied or waived in accordance with the Amendment and Restatement. The Amendment and Restatement Effective Date occurred on April 18, 2022.</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the Borrower or its Subsidiaries from time to time concerning or relating to bribery or corruption, including, but not limited to, the Foreign Corrupt Practices Act of 1977, as amended, and the rules thereunder, and the UK Bribery Act.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(a) with respect to Loans and LC Exposure, a percentage equal to a fraction the numerator of which is such Lender’s Commitment and the denominator of which is the aggregate Commitment of all Lenders (if the Commitments have terminated or expired, the Applicable Percentages shall be determined based upon such Lender’s share of the Aggregate Credit Exposure at that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when a Defaulting Lender shall exist, any such Defaulting Lender’s Commitment shall be disregarded in the calculation, and (b) with respect to the Aggregate Credit Exposure, a percentage based upon its share of the Aggregate Credit Exposure and the unused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when a Defaulting Lender shall exist, any such Defaulting Lender’s Commitment shall be disregarded in the calculation.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xml:space="preserve">” means, for any day, with respect to any ABR Loan or Term SOFR Loan, or with respect to the commitment fees payable hereunder, as the case may be, the applicable rate per annum set forth below under the caption “ABR Spread”, “Adjusted Term SOFR Spread” or “Unused Fee”, as the case may be, based upon the Borrower’s Total Net Leverage Ratio as of the most recent determination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the delivery to the Administrative Agent,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of the Borrower’s consolidated financial information for the Borrower’s first fiscal quarter ending after the Amendment and Restatement Effective Date, the “Applicable Rate” shall be the applicable rate per annum set forth below in Category II:</w:t>
      </w:r>
    </w:p>
    <w:p>
      <w:pPr>
        <w:spacing w:after="0" w:line="182" w:lineRule="exact"/>
        <w:rPr>
          <w:sz w:val="20"/>
          <w:szCs w:val="20"/>
          <w:color w:val="auto"/>
        </w:rPr>
      </w:pPr>
    </w:p>
    <w:tbl>
      <w:tblPr>
        <w:tblLayout w:type="fixed"/>
        <w:tblInd w:w="690" w:type="dxa"/>
        <w:tblCellMar>
          <w:top w:w="0" w:type="dxa"/>
          <w:left w:w="0" w:type="dxa"/>
          <w:bottom w:w="0" w:type="dxa"/>
          <w:right w:w="0" w:type="dxa"/>
        </w:tblCellMar>
      </w:tblPr>
      <w:tr>
        <w:trPr>
          <w:trHeight w:val="297"/>
        </w:trPr>
        <w:tc>
          <w:tcPr>
            <w:tcW w:w="480" w:type="dxa"/>
            <w:vAlign w:val="bottom"/>
            <w:tcBorders>
              <w:top w:val="single" w:sz="8" w:color="auto"/>
              <w:left w:val="single" w:sz="8" w:color="auto"/>
            </w:tcBorders>
          </w:tcPr>
          <w:p>
            <w:pPr>
              <w:spacing w:after="0"/>
              <w:rPr>
                <w:sz w:val="24"/>
                <w:szCs w:val="24"/>
                <w:color w:val="auto"/>
              </w:rPr>
            </w:pPr>
          </w:p>
        </w:tc>
        <w:tc>
          <w:tcPr>
            <w:tcW w:w="1140" w:type="dxa"/>
            <w:vAlign w:val="bottom"/>
            <w:tcBorders>
              <w:top w:val="single" w:sz="8" w:color="auto"/>
              <w:right w:val="single" w:sz="8" w:color="auto"/>
            </w:tcBorders>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color w:val="auto"/>
                <w:w w:val="99"/>
              </w:rPr>
              <w:t>Category</w:t>
            </w:r>
          </w:p>
        </w:tc>
        <w:tc>
          <w:tcPr>
            <w:tcW w:w="4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Total Net</w:t>
            </w:r>
          </w:p>
        </w:tc>
        <w:tc>
          <w:tcPr>
            <w:tcW w:w="700" w:type="dxa"/>
            <w:vAlign w:val="bottom"/>
            <w:tcBorders>
              <w:top w:val="single" w:sz="8" w:color="auto"/>
              <w:right w:val="single" w:sz="8" w:color="auto"/>
            </w:tcBorders>
            <w:gridSpan w:val="2"/>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0" w:type="dxa"/>
            <w:vAlign w:val="bottom"/>
            <w:tcBorders>
              <w:top w:val="single" w:sz="8" w:color="auto"/>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18"/>
                <w:szCs w:val="18"/>
                <w:color w:val="auto"/>
              </w:rPr>
              <w:t>ABR Spread</w:t>
            </w:r>
          </w:p>
        </w:tc>
        <w:tc>
          <w:tcPr>
            <w:tcW w:w="262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Adjusted Term SOFR</w:t>
            </w: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Unused Fee</w:t>
            </w:r>
          </w:p>
        </w:tc>
        <w:tc>
          <w:tcPr>
            <w:tcW w:w="0" w:type="dxa"/>
            <w:vAlign w:val="bottom"/>
          </w:tcPr>
          <w:p>
            <w:pPr>
              <w:spacing w:after="0"/>
              <w:rPr>
                <w:sz w:val="1"/>
                <w:szCs w:val="1"/>
                <w:color w:val="auto"/>
              </w:rPr>
            </w:pPr>
          </w:p>
        </w:tc>
      </w:tr>
      <w:tr>
        <w:trPr>
          <w:trHeight w:val="20"/>
        </w:trPr>
        <w:tc>
          <w:tcPr>
            <w:tcW w:w="480" w:type="dxa"/>
            <w:vAlign w:val="bottom"/>
            <w:tcBorders>
              <w:left w:val="single" w:sz="8" w:color="auto"/>
            </w:tcBorders>
          </w:tcPr>
          <w:p>
            <w:pPr>
              <w:spacing w:after="0" w:line="20" w:lineRule="exact"/>
              <w:rPr>
                <w:sz w:val="1"/>
                <w:szCs w:val="1"/>
                <w:color w:val="auto"/>
              </w:rPr>
            </w:pPr>
          </w:p>
        </w:tc>
        <w:tc>
          <w:tcPr>
            <w:tcW w:w="1140" w:type="dxa"/>
            <w:vAlign w:val="bottom"/>
            <w:tcBorders>
              <w:right w:val="single" w:sz="8" w:color="auto"/>
            </w:tcBorders>
            <w:gridSpan w:val="2"/>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5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80" w:type="dxa"/>
            <w:vAlign w:val="bottom"/>
            <w:tcBorders>
              <w:left w:val="single" w:sz="8" w:color="auto"/>
            </w:tcBorders>
          </w:tcPr>
          <w:p>
            <w:pPr>
              <w:spacing w:after="0"/>
              <w:rPr>
                <w:sz w:val="7"/>
                <w:szCs w:val="7"/>
                <w:color w:val="auto"/>
              </w:rPr>
            </w:pPr>
          </w:p>
        </w:tc>
        <w:tc>
          <w:tcPr>
            <w:tcW w:w="1140" w:type="dxa"/>
            <w:vAlign w:val="bottom"/>
            <w:tcBorders>
              <w:right w:val="single" w:sz="8" w:color="auto"/>
            </w:tcBorders>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1620" w:type="dxa"/>
            <w:vAlign w:val="bottom"/>
            <w:tcBorders>
              <w:right w:val="single" w:sz="8" w:color="auto"/>
            </w:tcBorders>
            <w:gridSpan w:val="4"/>
            <w:vMerge w:val="restart"/>
          </w:tcPr>
          <w:p>
            <w:pPr>
              <w:jc w:val="center"/>
              <w:ind w:right="520"/>
              <w:spacing w:after="0" w:line="196" w:lineRule="exact"/>
              <w:rPr>
                <w:sz w:val="20"/>
                <w:szCs w:val="20"/>
                <w:color w:val="auto"/>
              </w:rPr>
            </w:pPr>
            <w:r>
              <w:rPr>
                <w:rFonts w:ascii="Times New Roman" w:cs="Times New Roman" w:eastAsia="Times New Roman" w:hAnsi="Times New Roman"/>
                <w:sz w:val="18"/>
                <w:szCs w:val="18"/>
                <w:color w:val="auto"/>
                <w:w w:val="99"/>
              </w:rPr>
              <w:t>Leverage Ratio</w:t>
            </w:r>
          </w:p>
        </w:tc>
        <w:tc>
          <w:tcPr>
            <w:tcW w:w="2640" w:type="dxa"/>
            <w:vAlign w:val="bottom"/>
            <w:tcBorders>
              <w:right w:val="single" w:sz="8" w:color="auto"/>
            </w:tcBorders>
            <w:gridSpan w:val="3"/>
            <w:vMerge w:val="restart"/>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9"/>
              </w:rPr>
              <w:t>(Per Annum)</w:t>
            </w:r>
          </w:p>
        </w:tc>
        <w:tc>
          <w:tcPr>
            <w:tcW w:w="560" w:type="dxa"/>
            <w:vAlign w:val="bottom"/>
          </w:tcPr>
          <w:p>
            <w:pPr>
              <w:spacing w:after="0"/>
              <w:rPr>
                <w:sz w:val="7"/>
                <w:szCs w:val="7"/>
                <w:color w:val="auto"/>
              </w:rPr>
            </w:pPr>
          </w:p>
        </w:tc>
        <w:tc>
          <w:tcPr>
            <w:tcW w:w="2060" w:type="dxa"/>
            <w:vAlign w:val="bottom"/>
            <w:tcBorders>
              <w:right w:val="single" w:sz="8" w:color="auto"/>
            </w:tcBorders>
            <w:gridSpan w:val="2"/>
            <w:vMerge w:val="restart"/>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9"/>
              </w:rPr>
              <w:t>Spread (Per Annum)</w:t>
            </w:r>
          </w:p>
        </w:tc>
        <w:tc>
          <w:tcPr>
            <w:tcW w:w="1580" w:type="dxa"/>
            <w:vAlign w:val="bottom"/>
            <w:tcBorders>
              <w:right w:val="single" w:sz="8" w:color="auto"/>
            </w:tcBorders>
            <w:gridSpan w:val="3"/>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(Per Annum)</w:t>
            </w:r>
          </w:p>
        </w:tc>
        <w:tc>
          <w:tcPr>
            <w:tcW w:w="0" w:type="dxa"/>
            <w:vAlign w:val="bottom"/>
          </w:tcPr>
          <w:p>
            <w:pPr>
              <w:spacing w:after="0"/>
              <w:rPr>
                <w:sz w:val="1"/>
                <w:szCs w:val="1"/>
                <w:color w:val="auto"/>
              </w:rPr>
            </w:pPr>
          </w:p>
        </w:tc>
      </w:tr>
      <w:tr>
        <w:trPr>
          <w:trHeight w:val="88"/>
        </w:trPr>
        <w:tc>
          <w:tcPr>
            <w:tcW w:w="480" w:type="dxa"/>
            <w:vAlign w:val="bottom"/>
            <w:tcBorders>
              <w:left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620" w:type="dxa"/>
            <w:vAlign w:val="bottom"/>
            <w:tcBorders>
              <w:right w:val="single" w:sz="8" w:color="auto"/>
            </w:tcBorders>
            <w:gridSpan w:val="4"/>
            <w:vMerge w:val="continue"/>
          </w:tcPr>
          <w:p>
            <w:pPr>
              <w:spacing w:after="0"/>
              <w:rPr>
                <w:sz w:val="7"/>
                <w:szCs w:val="7"/>
                <w:color w:val="auto"/>
              </w:rPr>
            </w:pPr>
          </w:p>
        </w:tc>
        <w:tc>
          <w:tcPr>
            <w:tcW w:w="2640" w:type="dxa"/>
            <w:vAlign w:val="bottom"/>
            <w:tcBorders>
              <w:right w:val="single" w:sz="8" w:color="auto"/>
            </w:tcBorders>
            <w:gridSpan w:val="3"/>
            <w:vMerge w:val="continue"/>
          </w:tcPr>
          <w:p>
            <w:pPr>
              <w:spacing w:after="0"/>
              <w:rPr>
                <w:sz w:val="7"/>
                <w:szCs w:val="7"/>
                <w:color w:val="auto"/>
              </w:rPr>
            </w:pPr>
          </w:p>
        </w:tc>
        <w:tc>
          <w:tcPr>
            <w:tcW w:w="560" w:type="dxa"/>
            <w:vAlign w:val="bottom"/>
          </w:tcPr>
          <w:p>
            <w:pPr>
              <w:spacing w:after="0"/>
              <w:rPr>
                <w:sz w:val="7"/>
                <w:szCs w:val="7"/>
                <w:color w:val="auto"/>
              </w:rPr>
            </w:pPr>
          </w:p>
        </w:tc>
        <w:tc>
          <w:tcPr>
            <w:tcW w:w="2060" w:type="dxa"/>
            <w:vAlign w:val="bottom"/>
            <w:tcBorders>
              <w:right w:val="single" w:sz="8" w:color="auto"/>
            </w:tcBorders>
            <w:gridSpan w:val="2"/>
            <w:vMerge w:val="continue"/>
          </w:tcPr>
          <w:p>
            <w:pPr>
              <w:spacing w:after="0"/>
              <w:rPr>
                <w:sz w:val="7"/>
                <w:szCs w:val="7"/>
                <w:color w:val="auto"/>
              </w:rPr>
            </w:pPr>
          </w:p>
        </w:tc>
        <w:tc>
          <w:tcPr>
            <w:tcW w:w="158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80" w:type="dxa"/>
            <w:vAlign w:val="bottom"/>
            <w:tcBorders>
              <w:left w:val="single" w:sz="8" w:color="auto"/>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520" w:type="dxa"/>
            <w:vAlign w:val="bottom"/>
            <w:tcBorders>
              <w:top w:val="single" w:sz="8" w:color="auto"/>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spacing w:after="0"/>
              <w:rPr>
                <w:sz w:val="24"/>
                <w:szCs w:val="24"/>
                <w:color w:val="auto"/>
              </w:rPr>
            </w:pPr>
          </w:p>
        </w:tc>
        <w:tc>
          <w:tcPr>
            <w:tcW w:w="1140" w:type="dxa"/>
            <w:vAlign w:val="bottom"/>
            <w:tcBorders>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I</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Borders>
              <w:right w:val="single" w:sz="8" w:color="auto"/>
            </w:tcBorders>
            <w:gridSpan w:val="3"/>
          </w:tcPr>
          <w:p>
            <w:pPr>
              <w:jc w:val="center"/>
              <w:ind w:right="700"/>
              <w:spacing w:after="0"/>
              <w:rPr>
                <w:sz w:val="20"/>
                <w:szCs w:val="20"/>
                <w:color w:val="auto"/>
              </w:rPr>
            </w:pPr>
            <w:r>
              <w:rPr>
                <w:rFonts w:ascii="Times New Roman" w:cs="Times New Roman" w:eastAsia="Times New Roman" w:hAnsi="Times New Roman"/>
                <w:sz w:val="18"/>
                <w:szCs w:val="18"/>
                <w:color w:val="auto"/>
              </w:rPr>
              <w:t>≤ 0.75x</w:t>
            </w:r>
          </w:p>
        </w:tc>
        <w:tc>
          <w:tcPr>
            <w:tcW w:w="840" w:type="dxa"/>
            <w:vAlign w:val="bottom"/>
          </w:tcPr>
          <w:p>
            <w:pPr>
              <w:spacing w:after="0"/>
              <w:rPr>
                <w:sz w:val="24"/>
                <w:szCs w:val="24"/>
                <w:color w:val="auto"/>
              </w:rPr>
            </w:pPr>
          </w:p>
        </w:tc>
        <w:tc>
          <w:tcPr>
            <w:tcW w:w="1800" w:type="dxa"/>
            <w:vAlign w:val="bottom"/>
            <w:tcBorders>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9"/>
              </w:rPr>
              <w:t>0.0 bps</w:t>
            </w:r>
          </w:p>
        </w:tc>
        <w:tc>
          <w:tcPr>
            <w:tcW w:w="560" w:type="dxa"/>
            <w:vAlign w:val="bottom"/>
          </w:tcPr>
          <w:p>
            <w:pPr>
              <w:spacing w:after="0"/>
              <w:rPr>
                <w:sz w:val="24"/>
                <w:szCs w:val="24"/>
                <w:color w:val="auto"/>
              </w:rPr>
            </w:pPr>
          </w:p>
        </w:tc>
        <w:tc>
          <w:tcPr>
            <w:tcW w:w="2060" w:type="dxa"/>
            <w:vAlign w:val="bottom"/>
            <w:tcBorders>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8"/>
              </w:rPr>
              <w:t>87.5 bps</w:t>
            </w:r>
          </w:p>
        </w:tc>
        <w:tc>
          <w:tcPr>
            <w:tcW w:w="360" w:type="dxa"/>
            <w:vAlign w:val="bottom"/>
          </w:tcPr>
          <w:p>
            <w:pPr>
              <w:spacing w:after="0"/>
              <w:rPr>
                <w:sz w:val="24"/>
                <w:szCs w:val="24"/>
                <w:color w:val="auto"/>
              </w:rPr>
            </w:pPr>
          </w:p>
        </w:tc>
        <w:tc>
          <w:tcPr>
            <w:tcW w:w="122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12.5 bps</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spacing w:after="0"/>
              <w:rPr>
                <w:sz w:val="24"/>
                <w:szCs w:val="24"/>
                <w:color w:val="auto"/>
              </w:rPr>
            </w:pPr>
          </w:p>
        </w:tc>
        <w:tc>
          <w:tcPr>
            <w:tcW w:w="1140" w:type="dxa"/>
            <w:vAlign w:val="bottom"/>
            <w:tcBorders>
              <w:right w:val="single" w:sz="8" w:color="auto"/>
            </w:tcBorders>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color w:val="auto"/>
                <w:w w:val="99"/>
              </w:rPr>
              <w:t>II</w:t>
            </w:r>
          </w:p>
        </w:tc>
        <w:tc>
          <w:tcPr>
            <w:tcW w:w="480" w:type="dxa"/>
            <w:vAlign w:val="bottom"/>
          </w:tcPr>
          <w:p>
            <w:pPr>
              <w:spacing w:after="0"/>
              <w:rPr>
                <w:sz w:val="24"/>
                <w:szCs w:val="24"/>
                <w:color w:val="auto"/>
              </w:rPr>
            </w:pPr>
          </w:p>
        </w:tc>
        <w:tc>
          <w:tcPr>
            <w:tcW w:w="1620" w:type="dxa"/>
            <w:vAlign w:val="bottom"/>
            <w:tcBorders>
              <w:right w:val="single" w:sz="8" w:color="auto"/>
            </w:tcBorders>
            <w:gridSpan w:val="4"/>
          </w:tcPr>
          <w:p>
            <w:pPr>
              <w:jc w:val="center"/>
              <w:ind w:right="520"/>
              <w:spacing w:after="0"/>
              <w:rPr>
                <w:sz w:val="20"/>
                <w:szCs w:val="20"/>
                <w:color w:val="auto"/>
              </w:rPr>
            </w:pPr>
            <w:r>
              <w:rPr>
                <w:rFonts w:ascii="Times New Roman" w:cs="Times New Roman" w:eastAsia="Times New Roman" w:hAnsi="Times New Roman"/>
                <w:sz w:val="18"/>
                <w:szCs w:val="18"/>
                <w:color w:val="auto"/>
                <w:w w:val="99"/>
              </w:rPr>
              <w:t>&gt; 0.75x but</w:t>
            </w:r>
          </w:p>
        </w:tc>
        <w:tc>
          <w:tcPr>
            <w:tcW w:w="840" w:type="dxa"/>
            <w:vAlign w:val="bottom"/>
          </w:tcPr>
          <w:p>
            <w:pPr>
              <w:spacing w:after="0"/>
              <w:rPr>
                <w:sz w:val="24"/>
                <w:szCs w:val="24"/>
                <w:color w:val="auto"/>
              </w:rPr>
            </w:pPr>
          </w:p>
        </w:tc>
        <w:tc>
          <w:tcPr>
            <w:tcW w:w="1800" w:type="dxa"/>
            <w:vAlign w:val="bottom"/>
            <w:tcBorders>
              <w:right w:val="single" w:sz="8" w:color="auto"/>
            </w:tcBorders>
            <w:gridSpan w:val="2"/>
            <w:vMerge w:val="restart"/>
          </w:tcPr>
          <w:p>
            <w:pPr>
              <w:jc w:val="center"/>
              <w:ind w:right="880"/>
              <w:spacing w:after="0"/>
              <w:rPr>
                <w:sz w:val="20"/>
                <w:szCs w:val="20"/>
                <w:color w:val="auto"/>
              </w:rPr>
            </w:pPr>
            <w:r>
              <w:rPr>
                <w:rFonts w:ascii="Times New Roman" w:cs="Times New Roman" w:eastAsia="Times New Roman" w:hAnsi="Times New Roman"/>
                <w:sz w:val="18"/>
                <w:szCs w:val="18"/>
                <w:color w:val="auto"/>
                <w:w w:val="99"/>
              </w:rPr>
              <w:t>0.0 bps</w:t>
            </w:r>
          </w:p>
        </w:tc>
        <w:tc>
          <w:tcPr>
            <w:tcW w:w="560" w:type="dxa"/>
            <w:vAlign w:val="bottom"/>
          </w:tcPr>
          <w:p>
            <w:pPr>
              <w:spacing w:after="0"/>
              <w:rPr>
                <w:sz w:val="24"/>
                <w:szCs w:val="24"/>
                <w:color w:val="auto"/>
              </w:rPr>
            </w:pPr>
          </w:p>
        </w:tc>
        <w:tc>
          <w:tcPr>
            <w:tcW w:w="2060" w:type="dxa"/>
            <w:vAlign w:val="bottom"/>
            <w:tcBorders>
              <w:right w:val="single" w:sz="8" w:color="auto"/>
            </w:tcBorders>
            <w:gridSpan w:val="2"/>
            <w:vMerge w:val="restart"/>
          </w:tcPr>
          <w:p>
            <w:pPr>
              <w:jc w:val="center"/>
              <w:ind w:right="600"/>
              <w:spacing w:after="0"/>
              <w:rPr>
                <w:sz w:val="20"/>
                <w:szCs w:val="20"/>
                <w:color w:val="auto"/>
              </w:rPr>
            </w:pPr>
            <w:r>
              <w:rPr>
                <w:rFonts w:ascii="Times New Roman" w:cs="Times New Roman" w:eastAsia="Times New Roman" w:hAnsi="Times New Roman"/>
                <w:sz w:val="18"/>
                <w:szCs w:val="18"/>
                <w:color w:val="auto"/>
                <w:w w:val="99"/>
              </w:rPr>
              <w:t>100.0 bps</w:t>
            </w:r>
          </w:p>
        </w:tc>
        <w:tc>
          <w:tcPr>
            <w:tcW w:w="360" w:type="dxa"/>
            <w:vAlign w:val="bottom"/>
          </w:tcPr>
          <w:p>
            <w:pPr>
              <w:spacing w:after="0"/>
              <w:rPr>
                <w:sz w:val="24"/>
                <w:szCs w:val="24"/>
                <w:color w:val="auto"/>
              </w:rPr>
            </w:pPr>
          </w:p>
        </w:tc>
        <w:tc>
          <w:tcPr>
            <w:tcW w:w="1220" w:type="dxa"/>
            <w:vAlign w:val="bottom"/>
            <w:tcBorders>
              <w:right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color w:val="auto"/>
                <w:w w:val="98"/>
              </w:rPr>
              <w:t>12.5 bps</w:t>
            </w:r>
          </w:p>
        </w:tc>
        <w:tc>
          <w:tcPr>
            <w:tcW w:w="0" w:type="dxa"/>
            <w:vAlign w:val="bottom"/>
          </w:tcPr>
          <w:p>
            <w:pPr>
              <w:spacing w:after="0"/>
              <w:rPr>
                <w:sz w:val="1"/>
                <w:szCs w:val="1"/>
                <w:color w:val="auto"/>
              </w:rPr>
            </w:pPr>
          </w:p>
        </w:tc>
      </w:tr>
      <w:tr>
        <w:trPr>
          <w:trHeight w:val="148"/>
        </w:trPr>
        <w:tc>
          <w:tcPr>
            <w:tcW w:w="480" w:type="dxa"/>
            <w:vAlign w:val="bottom"/>
            <w:tcBorders>
              <w:left w:val="single" w:sz="8" w:color="auto"/>
            </w:tcBorders>
          </w:tcPr>
          <w:p>
            <w:pPr>
              <w:spacing w:after="0"/>
              <w:rPr>
                <w:sz w:val="12"/>
                <w:szCs w:val="12"/>
                <w:color w:val="auto"/>
              </w:rPr>
            </w:pPr>
          </w:p>
        </w:tc>
        <w:tc>
          <w:tcPr>
            <w:tcW w:w="1140" w:type="dxa"/>
            <w:vAlign w:val="bottom"/>
            <w:tcBorders>
              <w:right w:val="single" w:sz="8" w:color="auto"/>
            </w:tcBorders>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right w:val="single" w:sz="8" w:color="auto"/>
            </w:tcBorders>
            <w:gridSpan w:val="3"/>
            <w:vMerge w:val="restart"/>
          </w:tcPr>
          <w:p>
            <w:pPr>
              <w:jc w:val="center"/>
              <w:ind w:right="800"/>
              <w:spacing w:after="0"/>
              <w:rPr>
                <w:sz w:val="20"/>
                <w:szCs w:val="20"/>
                <w:color w:val="auto"/>
              </w:rPr>
            </w:pPr>
            <w:r>
              <w:rPr>
                <w:rFonts w:ascii="Times New Roman" w:cs="Times New Roman" w:eastAsia="Times New Roman" w:hAnsi="Times New Roman"/>
                <w:sz w:val="18"/>
                <w:szCs w:val="18"/>
                <w:color w:val="auto"/>
                <w:w w:val="98"/>
              </w:rPr>
              <w:t>≤ 1.25x</w:t>
            </w:r>
          </w:p>
        </w:tc>
        <w:tc>
          <w:tcPr>
            <w:tcW w:w="840" w:type="dxa"/>
            <w:vAlign w:val="bottom"/>
          </w:tcPr>
          <w:p>
            <w:pPr>
              <w:spacing w:after="0"/>
              <w:rPr>
                <w:sz w:val="12"/>
                <w:szCs w:val="12"/>
                <w:color w:val="auto"/>
              </w:rPr>
            </w:pPr>
          </w:p>
        </w:tc>
        <w:tc>
          <w:tcPr>
            <w:tcW w:w="1800" w:type="dxa"/>
            <w:vAlign w:val="bottom"/>
            <w:tcBorders>
              <w:right w:val="single" w:sz="8" w:color="auto"/>
            </w:tcBorders>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060" w:type="dxa"/>
            <w:vAlign w:val="bottom"/>
            <w:tcBorders>
              <w:right w:val="single" w:sz="8" w:color="auto"/>
            </w:tcBorders>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Borders>
              <w:right w:val="single" w:sz="8" w:color="auto"/>
            </w:tcBorders>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spacing w:after="0"/>
              <w:rPr>
                <w:sz w:val="24"/>
                <w:szCs w:val="24"/>
                <w:color w:val="auto"/>
              </w:rPr>
            </w:pPr>
          </w:p>
        </w:tc>
        <w:tc>
          <w:tcPr>
            <w:tcW w:w="1140" w:type="dxa"/>
            <w:vAlign w:val="bottom"/>
            <w:tcBorders>
              <w:right w:val="single" w:sz="8" w:color="auto"/>
            </w:tcBorders>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color w:val="auto"/>
                <w:w w:val="99"/>
              </w:rPr>
              <w:t>III</w:t>
            </w:r>
          </w:p>
        </w:tc>
        <w:tc>
          <w:tcPr>
            <w:tcW w:w="480" w:type="dxa"/>
            <w:vAlign w:val="bottom"/>
          </w:tcPr>
          <w:p>
            <w:pPr>
              <w:spacing w:after="0"/>
              <w:rPr>
                <w:sz w:val="24"/>
                <w:szCs w:val="24"/>
                <w:color w:val="auto"/>
              </w:rPr>
            </w:pPr>
          </w:p>
        </w:tc>
        <w:tc>
          <w:tcPr>
            <w:tcW w:w="1620" w:type="dxa"/>
            <w:vAlign w:val="bottom"/>
            <w:tcBorders>
              <w:right w:val="single" w:sz="8" w:color="auto"/>
            </w:tcBorders>
            <w:gridSpan w:val="4"/>
          </w:tcPr>
          <w:p>
            <w:pPr>
              <w:jc w:val="center"/>
              <w:ind w:right="600"/>
              <w:spacing w:after="0"/>
              <w:rPr>
                <w:sz w:val="20"/>
                <w:szCs w:val="20"/>
                <w:color w:val="auto"/>
              </w:rPr>
            </w:pPr>
            <w:r>
              <w:rPr>
                <w:rFonts w:ascii="Times New Roman" w:cs="Times New Roman" w:eastAsia="Times New Roman" w:hAnsi="Times New Roman"/>
                <w:sz w:val="18"/>
                <w:szCs w:val="18"/>
                <w:color w:val="auto"/>
                <w:w w:val="99"/>
              </w:rPr>
              <w:t>&gt; 1.25x but</w:t>
            </w:r>
          </w:p>
        </w:tc>
        <w:tc>
          <w:tcPr>
            <w:tcW w:w="840" w:type="dxa"/>
            <w:vAlign w:val="bottom"/>
          </w:tcPr>
          <w:p>
            <w:pPr>
              <w:spacing w:after="0"/>
              <w:rPr>
                <w:sz w:val="24"/>
                <w:szCs w:val="24"/>
                <w:color w:val="auto"/>
              </w:rPr>
            </w:pPr>
          </w:p>
        </w:tc>
        <w:tc>
          <w:tcPr>
            <w:tcW w:w="1800" w:type="dxa"/>
            <w:vAlign w:val="bottom"/>
            <w:tcBorders>
              <w:right w:val="single" w:sz="8" w:color="auto"/>
            </w:tcBorders>
            <w:gridSpan w:val="2"/>
            <w:vMerge w:val="restart"/>
          </w:tcPr>
          <w:p>
            <w:pPr>
              <w:jc w:val="center"/>
              <w:ind w:right="860"/>
              <w:spacing w:after="0"/>
              <w:rPr>
                <w:sz w:val="20"/>
                <w:szCs w:val="20"/>
                <w:color w:val="auto"/>
              </w:rPr>
            </w:pPr>
            <w:r>
              <w:rPr>
                <w:rFonts w:ascii="Times New Roman" w:cs="Times New Roman" w:eastAsia="Times New Roman" w:hAnsi="Times New Roman"/>
                <w:sz w:val="18"/>
                <w:szCs w:val="18"/>
                <w:color w:val="auto"/>
              </w:rPr>
              <w:t>12.5 bps</w:t>
            </w:r>
          </w:p>
        </w:tc>
        <w:tc>
          <w:tcPr>
            <w:tcW w:w="560" w:type="dxa"/>
            <w:vAlign w:val="bottom"/>
          </w:tcPr>
          <w:p>
            <w:pPr>
              <w:spacing w:after="0"/>
              <w:rPr>
                <w:sz w:val="24"/>
                <w:szCs w:val="24"/>
                <w:color w:val="auto"/>
              </w:rPr>
            </w:pPr>
          </w:p>
        </w:tc>
        <w:tc>
          <w:tcPr>
            <w:tcW w:w="2060" w:type="dxa"/>
            <w:vAlign w:val="bottom"/>
            <w:tcBorders>
              <w:right w:val="single" w:sz="8" w:color="auto"/>
            </w:tcBorders>
            <w:gridSpan w:val="2"/>
            <w:vMerge w:val="restart"/>
          </w:tcPr>
          <w:p>
            <w:pPr>
              <w:jc w:val="center"/>
              <w:ind w:right="580"/>
              <w:spacing w:after="0"/>
              <w:rPr>
                <w:sz w:val="20"/>
                <w:szCs w:val="20"/>
                <w:color w:val="auto"/>
              </w:rPr>
            </w:pPr>
            <w:r>
              <w:rPr>
                <w:rFonts w:ascii="Times New Roman" w:cs="Times New Roman" w:eastAsia="Times New Roman" w:hAnsi="Times New Roman"/>
                <w:sz w:val="18"/>
                <w:szCs w:val="18"/>
                <w:color w:val="auto"/>
                <w:w w:val="97"/>
              </w:rPr>
              <w:t>112.5 bps</w:t>
            </w:r>
          </w:p>
        </w:tc>
        <w:tc>
          <w:tcPr>
            <w:tcW w:w="360" w:type="dxa"/>
            <w:vAlign w:val="bottom"/>
          </w:tcPr>
          <w:p>
            <w:pPr>
              <w:spacing w:after="0"/>
              <w:rPr>
                <w:sz w:val="24"/>
                <w:szCs w:val="24"/>
                <w:color w:val="auto"/>
              </w:rPr>
            </w:pPr>
          </w:p>
        </w:tc>
        <w:tc>
          <w:tcPr>
            <w:tcW w:w="1220" w:type="dxa"/>
            <w:vAlign w:val="bottom"/>
            <w:tcBorders>
              <w:right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color w:val="auto"/>
                <w:w w:val="98"/>
              </w:rPr>
              <w:t>15.0 bps</w:t>
            </w:r>
          </w:p>
        </w:tc>
        <w:tc>
          <w:tcPr>
            <w:tcW w:w="0" w:type="dxa"/>
            <w:vAlign w:val="bottom"/>
          </w:tcPr>
          <w:p>
            <w:pPr>
              <w:spacing w:after="0"/>
              <w:rPr>
                <w:sz w:val="1"/>
                <w:szCs w:val="1"/>
                <w:color w:val="auto"/>
              </w:rPr>
            </w:pPr>
          </w:p>
        </w:tc>
      </w:tr>
      <w:tr>
        <w:trPr>
          <w:trHeight w:val="148"/>
        </w:trPr>
        <w:tc>
          <w:tcPr>
            <w:tcW w:w="480" w:type="dxa"/>
            <w:vAlign w:val="bottom"/>
            <w:tcBorders>
              <w:left w:val="single" w:sz="8" w:color="auto"/>
            </w:tcBorders>
          </w:tcPr>
          <w:p>
            <w:pPr>
              <w:spacing w:after="0"/>
              <w:rPr>
                <w:sz w:val="12"/>
                <w:szCs w:val="12"/>
                <w:color w:val="auto"/>
              </w:rPr>
            </w:pPr>
          </w:p>
        </w:tc>
        <w:tc>
          <w:tcPr>
            <w:tcW w:w="1140" w:type="dxa"/>
            <w:vAlign w:val="bottom"/>
            <w:tcBorders>
              <w:right w:val="single" w:sz="8" w:color="auto"/>
            </w:tcBorders>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right w:val="single" w:sz="8" w:color="auto"/>
            </w:tcBorders>
            <w:gridSpan w:val="3"/>
            <w:vMerge w:val="restart"/>
          </w:tcPr>
          <w:p>
            <w:pPr>
              <w:jc w:val="center"/>
              <w:ind w:right="800"/>
              <w:spacing w:after="0"/>
              <w:rPr>
                <w:sz w:val="20"/>
                <w:szCs w:val="20"/>
                <w:color w:val="auto"/>
              </w:rPr>
            </w:pPr>
            <w:r>
              <w:rPr>
                <w:rFonts w:ascii="Times New Roman" w:cs="Times New Roman" w:eastAsia="Times New Roman" w:hAnsi="Times New Roman"/>
                <w:sz w:val="18"/>
                <w:szCs w:val="18"/>
                <w:color w:val="auto"/>
                <w:w w:val="98"/>
              </w:rPr>
              <w:t>≤ 2.00x</w:t>
            </w:r>
          </w:p>
        </w:tc>
        <w:tc>
          <w:tcPr>
            <w:tcW w:w="840" w:type="dxa"/>
            <w:vAlign w:val="bottom"/>
          </w:tcPr>
          <w:p>
            <w:pPr>
              <w:spacing w:after="0"/>
              <w:rPr>
                <w:sz w:val="12"/>
                <w:szCs w:val="12"/>
                <w:color w:val="auto"/>
              </w:rPr>
            </w:pPr>
          </w:p>
        </w:tc>
        <w:tc>
          <w:tcPr>
            <w:tcW w:w="1800" w:type="dxa"/>
            <w:vAlign w:val="bottom"/>
            <w:tcBorders>
              <w:right w:val="single" w:sz="8" w:color="auto"/>
            </w:tcBorders>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060" w:type="dxa"/>
            <w:vAlign w:val="bottom"/>
            <w:tcBorders>
              <w:right w:val="single" w:sz="8" w:color="auto"/>
            </w:tcBorders>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Borders>
              <w:right w:val="single" w:sz="8" w:color="auto"/>
            </w:tcBorders>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spacing w:after="0"/>
              <w:rPr>
                <w:sz w:val="24"/>
                <w:szCs w:val="24"/>
                <w:color w:val="auto"/>
              </w:rPr>
            </w:pPr>
          </w:p>
        </w:tc>
        <w:tc>
          <w:tcPr>
            <w:tcW w:w="1140" w:type="dxa"/>
            <w:vAlign w:val="bottom"/>
            <w:tcBorders>
              <w:right w:val="single" w:sz="8" w:color="auto"/>
            </w:tcBorders>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color w:val="auto"/>
                <w:w w:val="94"/>
              </w:rPr>
              <w:t>IV</w:t>
            </w:r>
          </w:p>
        </w:tc>
        <w:tc>
          <w:tcPr>
            <w:tcW w:w="480" w:type="dxa"/>
            <w:vAlign w:val="bottom"/>
          </w:tcPr>
          <w:p>
            <w:pPr>
              <w:spacing w:after="0"/>
              <w:rPr>
                <w:sz w:val="24"/>
                <w:szCs w:val="24"/>
                <w:color w:val="auto"/>
              </w:rPr>
            </w:pPr>
          </w:p>
        </w:tc>
        <w:tc>
          <w:tcPr>
            <w:tcW w:w="1620" w:type="dxa"/>
            <w:vAlign w:val="bottom"/>
            <w:tcBorders>
              <w:right w:val="single" w:sz="8" w:color="auto"/>
            </w:tcBorders>
            <w:gridSpan w:val="4"/>
          </w:tcPr>
          <w:p>
            <w:pPr>
              <w:jc w:val="center"/>
              <w:ind w:right="520"/>
              <w:spacing w:after="0"/>
              <w:rPr>
                <w:sz w:val="20"/>
                <w:szCs w:val="20"/>
                <w:color w:val="auto"/>
              </w:rPr>
            </w:pPr>
            <w:r>
              <w:rPr>
                <w:rFonts w:ascii="Times New Roman" w:cs="Times New Roman" w:eastAsia="Times New Roman" w:hAnsi="Times New Roman"/>
                <w:sz w:val="18"/>
                <w:szCs w:val="18"/>
                <w:color w:val="auto"/>
                <w:w w:val="99"/>
              </w:rPr>
              <w:t>&gt; 2.00x but</w:t>
            </w:r>
          </w:p>
        </w:tc>
        <w:tc>
          <w:tcPr>
            <w:tcW w:w="840" w:type="dxa"/>
            <w:vAlign w:val="bottom"/>
          </w:tcPr>
          <w:p>
            <w:pPr>
              <w:spacing w:after="0"/>
              <w:rPr>
                <w:sz w:val="24"/>
                <w:szCs w:val="24"/>
                <w:color w:val="auto"/>
              </w:rPr>
            </w:pPr>
          </w:p>
        </w:tc>
        <w:tc>
          <w:tcPr>
            <w:tcW w:w="1800" w:type="dxa"/>
            <w:vAlign w:val="bottom"/>
            <w:tcBorders>
              <w:right w:val="single" w:sz="8" w:color="auto"/>
            </w:tcBorders>
            <w:gridSpan w:val="2"/>
            <w:vMerge w:val="restart"/>
          </w:tcPr>
          <w:p>
            <w:pPr>
              <w:jc w:val="center"/>
              <w:ind w:right="860"/>
              <w:spacing w:after="0"/>
              <w:rPr>
                <w:sz w:val="20"/>
                <w:szCs w:val="20"/>
                <w:color w:val="auto"/>
              </w:rPr>
            </w:pPr>
            <w:r>
              <w:rPr>
                <w:rFonts w:ascii="Times New Roman" w:cs="Times New Roman" w:eastAsia="Times New Roman" w:hAnsi="Times New Roman"/>
                <w:sz w:val="18"/>
                <w:szCs w:val="18"/>
                <w:color w:val="auto"/>
              </w:rPr>
              <w:t>37.5 bps</w:t>
            </w:r>
          </w:p>
        </w:tc>
        <w:tc>
          <w:tcPr>
            <w:tcW w:w="560" w:type="dxa"/>
            <w:vAlign w:val="bottom"/>
          </w:tcPr>
          <w:p>
            <w:pPr>
              <w:spacing w:after="0"/>
              <w:rPr>
                <w:sz w:val="24"/>
                <w:szCs w:val="24"/>
                <w:color w:val="auto"/>
              </w:rPr>
            </w:pPr>
          </w:p>
        </w:tc>
        <w:tc>
          <w:tcPr>
            <w:tcW w:w="2060" w:type="dxa"/>
            <w:vAlign w:val="bottom"/>
            <w:tcBorders>
              <w:right w:val="single" w:sz="8" w:color="auto"/>
            </w:tcBorders>
            <w:gridSpan w:val="2"/>
            <w:vMerge w:val="restart"/>
          </w:tcPr>
          <w:p>
            <w:pPr>
              <w:jc w:val="center"/>
              <w:ind w:right="600"/>
              <w:spacing w:after="0"/>
              <w:rPr>
                <w:sz w:val="20"/>
                <w:szCs w:val="20"/>
                <w:color w:val="auto"/>
              </w:rPr>
            </w:pPr>
            <w:r>
              <w:rPr>
                <w:rFonts w:ascii="Times New Roman" w:cs="Times New Roman" w:eastAsia="Times New Roman" w:hAnsi="Times New Roman"/>
                <w:sz w:val="18"/>
                <w:szCs w:val="18"/>
                <w:color w:val="auto"/>
                <w:w w:val="99"/>
              </w:rPr>
              <w:t>137.5 bps</w:t>
            </w:r>
          </w:p>
        </w:tc>
        <w:tc>
          <w:tcPr>
            <w:tcW w:w="360" w:type="dxa"/>
            <w:vAlign w:val="bottom"/>
          </w:tcPr>
          <w:p>
            <w:pPr>
              <w:spacing w:after="0"/>
              <w:rPr>
                <w:sz w:val="24"/>
                <w:szCs w:val="24"/>
                <w:color w:val="auto"/>
              </w:rPr>
            </w:pPr>
          </w:p>
        </w:tc>
        <w:tc>
          <w:tcPr>
            <w:tcW w:w="1220" w:type="dxa"/>
            <w:vAlign w:val="bottom"/>
            <w:tcBorders>
              <w:right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color w:val="auto"/>
                <w:w w:val="98"/>
              </w:rPr>
              <w:t>17.5 bps</w:t>
            </w:r>
          </w:p>
        </w:tc>
        <w:tc>
          <w:tcPr>
            <w:tcW w:w="0" w:type="dxa"/>
            <w:vAlign w:val="bottom"/>
          </w:tcPr>
          <w:p>
            <w:pPr>
              <w:spacing w:after="0"/>
              <w:rPr>
                <w:sz w:val="1"/>
                <w:szCs w:val="1"/>
                <w:color w:val="auto"/>
              </w:rPr>
            </w:pPr>
          </w:p>
        </w:tc>
      </w:tr>
      <w:tr>
        <w:trPr>
          <w:trHeight w:val="148"/>
        </w:trPr>
        <w:tc>
          <w:tcPr>
            <w:tcW w:w="480" w:type="dxa"/>
            <w:vAlign w:val="bottom"/>
            <w:tcBorders>
              <w:left w:val="single" w:sz="8" w:color="auto"/>
            </w:tcBorders>
          </w:tcPr>
          <w:p>
            <w:pPr>
              <w:spacing w:after="0"/>
              <w:rPr>
                <w:sz w:val="12"/>
                <w:szCs w:val="12"/>
                <w:color w:val="auto"/>
              </w:rPr>
            </w:pPr>
          </w:p>
        </w:tc>
        <w:tc>
          <w:tcPr>
            <w:tcW w:w="1140" w:type="dxa"/>
            <w:vAlign w:val="bottom"/>
            <w:tcBorders>
              <w:right w:val="single" w:sz="8" w:color="auto"/>
            </w:tcBorders>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right w:val="single" w:sz="8" w:color="auto"/>
            </w:tcBorders>
            <w:gridSpan w:val="3"/>
            <w:vMerge w:val="restart"/>
          </w:tcPr>
          <w:p>
            <w:pPr>
              <w:jc w:val="center"/>
              <w:ind w:right="800"/>
              <w:spacing w:after="0"/>
              <w:rPr>
                <w:sz w:val="20"/>
                <w:szCs w:val="20"/>
                <w:color w:val="auto"/>
              </w:rPr>
            </w:pPr>
            <w:r>
              <w:rPr>
                <w:rFonts w:ascii="Times New Roman" w:cs="Times New Roman" w:eastAsia="Times New Roman" w:hAnsi="Times New Roman"/>
                <w:sz w:val="18"/>
                <w:szCs w:val="18"/>
                <w:color w:val="auto"/>
                <w:w w:val="98"/>
              </w:rPr>
              <w:t>≤ 2.50x</w:t>
            </w:r>
          </w:p>
        </w:tc>
        <w:tc>
          <w:tcPr>
            <w:tcW w:w="840" w:type="dxa"/>
            <w:vAlign w:val="bottom"/>
          </w:tcPr>
          <w:p>
            <w:pPr>
              <w:spacing w:after="0"/>
              <w:rPr>
                <w:sz w:val="12"/>
                <w:szCs w:val="12"/>
                <w:color w:val="auto"/>
              </w:rPr>
            </w:pPr>
          </w:p>
        </w:tc>
        <w:tc>
          <w:tcPr>
            <w:tcW w:w="1800" w:type="dxa"/>
            <w:vAlign w:val="bottom"/>
            <w:tcBorders>
              <w:right w:val="single" w:sz="8" w:color="auto"/>
            </w:tcBorders>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060" w:type="dxa"/>
            <w:vAlign w:val="bottom"/>
            <w:tcBorders>
              <w:right w:val="single" w:sz="8" w:color="auto"/>
            </w:tcBorders>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Borders>
              <w:right w:val="single" w:sz="8" w:color="auto"/>
            </w:tcBorders>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spacing w:after="0"/>
              <w:rPr>
                <w:sz w:val="24"/>
                <w:szCs w:val="24"/>
                <w:color w:val="auto"/>
              </w:rPr>
            </w:pPr>
          </w:p>
        </w:tc>
        <w:tc>
          <w:tcPr>
            <w:tcW w:w="1140" w:type="dxa"/>
            <w:vAlign w:val="bottom"/>
            <w:tcBorders>
              <w:right w:val="single" w:sz="8" w:color="auto"/>
            </w:tcBorders>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color w:val="auto"/>
              </w:rPr>
              <w:t>V</w:t>
            </w:r>
          </w:p>
        </w:tc>
        <w:tc>
          <w:tcPr>
            <w:tcW w:w="480" w:type="dxa"/>
            <w:vAlign w:val="bottom"/>
          </w:tcPr>
          <w:p>
            <w:pPr>
              <w:spacing w:after="0"/>
              <w:rPr>
                <w:sz w:val="24"/>
                <w:szCs w:val="24"/>
                <w:color w:val="auto"/>
              </w:rPr>
            </w:pPr>
          </w:p>
        </w:tc>
        <w:tc>
          <w:tcPr>
            <w:tcW w:w="1620" w:type="dxa"/>
            <w:vAlign w:val="bottom"/>
            <w:tcBorders>
              <w:right w:val="single" w:sz="8" w:color="auto"/>
            </w:tcBorders>
            <w:gridSpan w:val="4"/>
          </w:tcPr>
          <w:p>
            <w:pPr>
              <w:jc w:val="center"/>
              <w:ind w:right="520"/>
              <w:spacing w:after="0"/>
              <w:rPr>
                <w:sz w:val="20"/>
                <w:szCs w:val="20"/>
                <w:color w:val="auto"/>
              </w:rPr>
            </w:pPr>
            <w:r>
              <w:rPr>
                <w:rFonts w:ascii="Times New Roman" w:cs="Times New Roman" w:eastAsia="Times New Roman" w:hAnsi="Times New Roman"/>
                <w:sz w:val="18"/>
                <w:szCs w:val="18"/>
                <w:color w:val="auto"/>
                <w:w w:val="99"/>
              </w:rPr>
              <w:t>&gt; 2.50x but</w:t>
            </w:r>
          </w:p>
        </w:tc>
        <w:tc>
          <w:tcPr>
            <w:tcW w:w="840" w:type="dxa"/>
            <w:vAlign w:val="bottom"/>
          </w:tcPr>
          <w:p>
            <w:pPr>
              <w:spacing w:after="0"/>
              <w:rPr>
                <w:sz w:val="24"/>
                <w:szCs w:val="24"/>
                <w:color w:val="auto"/>
              </w:rPr>
            </w:pPr>
          </w:p>
        </w:tc>
        <w:tc>
          <w:tcPr>
            <w:tcW w:w="1800" w:type="dxa"/>
            <w:vAlign w:val="bottom"/>
            <w:tcBorders>
              <w:right w:val="single" w:sz="8" w:color="auto"/>
            </w:tcBorders>
            <w:gridSpan w:val="2"/>
            <w:vMerge w:val="restart"/>
          </w:tcPr>
          <w:p>
            <w:pPr>
              <w:jc w:val="center"/>
              <w:ind w:right="860"/>
              <w:spacing w:after="0"/>
              <w:rPr>
                <w:sz w:val="20"/>
                <w:szCs w:val="20"/>
                <w:color w:val="auto"/>
              </w:rPr>
            </w:pPr>
            <w:r>
              <w:rPr>
                <w:rFonts w:ascii="Times New Roman" w:cs="Times New Roman" w:eastAsia="Times New Roman" w:hAnsi="Times New Roman"/>
                <w:sz w:val="18"/>
                <w:szCs w:val="18"/>
                <w:color w:val="auto"/>
              </w:rPr>
              <w:t>62.5 bps</w:t>
            </w:r>
          </w:p>
        </w:tc>
        <w:tc>
          <w:tcPr>
            <w:tcW w:w="560" w:type="dxa"/>
            <w:vAlign w:val="bottom"/>
          </w:tcPr>
          <w:p>
            <w:pPr>
              <w:spacing w:after="0"/>
              <w:rPr>
                <w:sz w:val="24"/>
                <w:szCs w:val="24"/>
                <w:color w:val="auto"/>
              </w:rPr>
            </w:pPr>
          </w:p>
        </w:tc>
        <w:tc>
          <w:tcPr>
            <w:tcW w:w="2060" w:type="dxa"/>
            <w:vAlign w:val="bottom"/>
            <w:tcBorders>
              <w:right w:val="single" w:sz="8" w:color="auto"/>
            </w:tcBorders>
            <w:gridSpan w:val="2"/>
            <w:vMerge w:val="restart"/>
          </w:tcPr>
          <w:p>
            <w:pPr>
              <w:jc w:val="center"/>
              <w:ind w:right="600"/>
              <w:spacing w:after="0"/>
              <w:rPr>
                <w:sz w:val="20"/>
                <w:szCs w:val="20"/>
                <w:color w:val="auto"/>
              </w:rPr>
            </w:pPr>
            <w:r>
              <w:rPr>
                <w:rFonts w:ascii="Times New Roman" w:cs="Times New Roman" w:eastAsia="Times New Roman" w:hAnsi="Times New Roman"/>
                <w:sz w:val="18"/>
                <w:szCs w:val="18"/>
                <w:color w:val="auto"/>
                <w:w w:val="99"/>
              </w:rPr>
              <w:t>162.5 bps</w:t>
            </w:r>
          </w:p>
        </w:tc>
        <w:tc>
          <w:tcPr>
            <w:tcW w:w="360" w:type="dxa"/>
            <w:vAlign w:val="bottom"/>
          </w:tcPr>
          <w:p>
            <w:pPr>
              <w:spacing w:after="0"/>
              <w:rPr>
                <w:sz w:val="24"/>
                <w:szCs w:val="24"/>
                <w:color w:val="auto"/>
              </w:rPr>
            </w:pPr>
          </w:p>
        </w:tc>
        <w:tc>
          <w:tcPr>
            <w:tcW w:w="1220" w:type="dxa"/>
            <w:vAlign w:val="bottom"/>
            <w:tcBorders>
              <w:right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color w:val="auto"/>
                <w:w w:val="98"/>
              </w:rPr>
              <w:t>22.5 bps</w:t>
            </w: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1140" w:type="dxa"/>
            <w:vAlign w:val="bottom"/>
            <w:tcBorders>
              <w:right w:val="single" w:sz="8" w:color="auto"/>
            </w:tcBorders>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right w:val="single" w:sz="8" w:color="auto"/>
            </w:tcBorders>
            <w:gridSpan w:val="3"/>
            <w:vMerge w:val="restart"/>
          </w:tcPr>
          <w:p>
            <w:pPr>
              <w:jc w:val="center"/>
              <w:ind w:right="800"/>
              <w:spacing w:after="0"/>
              <w:rPr>
                <w:sz w:val="20"/>
                <w:szCs w:val="20"/>
                <w:color w:val="auto"/>
              </w:rPr>
            </w:pPr>
            <w:r>
              <w:rPr>
                <w:rFonts w:ascii="Times New Roman" w:cs="Times New Roman" w:eastAsia="Times New Roman" w:hAnsi="Times New Roman"/>
                <w:sz w:val="18"/>
                <w:szCs w:val="18"/>
                <w:color w:val="auto"/>
                <w:w w:val="98"/>
              </w:rPr>
              <w:t>≤ 3.00x</w:t>
            </w:r>
          </w:p>
        </w:tc>
        <w:tc>
          <w:tcPr>
            <w:tcW w:w="840" w:type="dxa"/>
            <w:vAlign w:val="bottom"/>
          </w:tcPr>
          <w:p>
            <w:pPr>
              <w:spacing w:after="0"/>
              <w:rPr>
                <w:sz w:val="12"/>
                <w:szCs w:val="12"/>
                <w:color w:val="auto"/>
              </w:rPr>
            </w:pPr>
          </w:p>
        </w:tc>
        <w:tc>
          <w:tcPr>
            <w:tcW w:w="1800" w:type="dxa"/>
            <w:vAlign w:val="bottom"/>
            <w:tcBorders>
              <w:right w:val="single" w:sz="8" w:color="auto"/>
            </w:tcBorders>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060" w:type="dxa"/>
            <w:vAlign w:val="bottom"/>
            <w:tcBorders>
              <w:right w:val="single" w:sz="8" w:color="auto"/>
            </w:tcBorders>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Borders>
              <w:right w:val="single" w:sz="8" w:color="auto"/>
            </w:tcBorders>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80" w:type="dxa"/>
            <w:vAlign w:val="bottom"/>
            <w:tcBorders>
              <w:left w:val="single" w:sz="8" w:color="auto"/>
            </w:tcBorders>
          </w:tcPr>
          <w:p>
            <w:pPr>
              <w:spacing w:after="0"/>
              <w:rPr>
                <w:sz w:val="24"/>
                <w:szCs w:val="24"/>
                <w:color w:val="auto"/>
              </w:rPr>
            </w:pPr>
          </w:p>
        </w:tc>
        <w:tc>
          <w:tcPr>
            <w:tcW w:w="1140" w:type="dxa"/>
            <w:vAlign w:val="bottom"/>
            <w:tcBorders>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4"/>
              </w:rPr>
              <w:t>VI</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Borders>
              <w:right w:val="single" w:sz="8" w:color="auto"/>
            </w:tcBorders>
            <w:gridSpan w:val="3"/>
          </w:tcPr>
          <w:p>
            <w:pPr>
              <w:jc w:val="center"/>
              <w:ind w:right="700"/>
              <w:spacing w:after="0"/>
              <w:rPr>
                <w:sz w:val="20"/>
                <w:szCs w:val="20"/>
                <w:color w:val="auto"/>
              </w:rPr>
            </w:pPr>
            <w:r>
              <w:rPr>
                <w:rFonts w:ascii="Times New Roman" w:cs="Times New Roman" w:eastAsia="Times New Roman" w:hAnsi="Times New Roman"/>
                <w:sz w:val="18"/>
                <w:szCs w:val="18"/>
                <w:color w:val="auto"/>
              </w:rPr>
              <w:t>&gt; 3.00x</w:t>
            </w:r>
          </w:p>
        </w:tc>
        <w:tc>
          <w:tcPr>
            <w:tcW w:w="840" w:type="dxa"/>
            <w:vAlign w:val="bottom"/>
          </w:tcPr>
          <w:p>
            <w:pPr>
              <w:spacing w:after="0"/>
              <w:rPr>
                <w:sz w:val="24"/>
                <w:szCs w:val="24"/>
                <w:color w:val="auto"/>
              </w:rPr>
            </w:pPr>
          </w:p>
        </w:tc>
        <w:tc>
          <w:tcPr>
            <w:tcW w:w="1800" w:type="dxa"/>
            <w:vAlign w:val="bottom"/>
            <w:tcBorders>
              <w:right w:val="single" w:sz="8" w:color="auto"/>
            </w:tcBorders>
            <w:gridSpan w:val="2"/>
          </w:tcPr>
          <w:p>
            <w:pPr>
              <w:jc w:val="center"/>
              <w:ind w:right="860"/>
              <w:spacing w:after="0"/>
              <w:rPr>
                <w:sz w:val="20"/>
                <w:szCs w:val="20"/>
                <w:color w:val="auto"/>
              </w:rPr>
            </w:pPr>
            <w:r>
              <w:rPr>
                <w:rFonts w:ascii="Times New Roman" w:cs="Times New Roman" w:eastAsia="Times New Roman" w:hAnsi="Times New Roman"/>
                <w:sz w:val="18"/>
                <w:szCs w:val="18"/>
                <w:color w:val="auto"/>
              </w:rPr>
              <w:t>75.0 bps</w:t>
            </w:r>
          </w:p>
        </w:tc>
        <w:tc>
          <w:tcPr>
            <w:tcW w:w="560" w:type="dxa"/>
            <w:vAlign w:val="bottom"/>
          </w:tcPr>
          <w:p>
            <w:pPr>
              <w:spacing w:after="0"/>
              <w:rPr>
                <w:sz w:val="24"/>
                <w:szCs w:val="24"/>
                <w:color w:val="auto"/>
              </w:rPr>
            </w:pPr>
          </w:p>
        </w:tc>
        <w:tc>
          <w:tcPr>
            <w:tcW w:w="2060" w:type="dxa"/>
            <w:vAlign w:val="bottom"/>
            <w:tcBorders>
              <w:right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175.0 bps</w:t>
            </w:r>
          </w:p>
        </w:tc>
        <w:tc>
          <w:tcPr>
            <w:tcW w:w="360" w:type="dxa"/>
            <w:vAlign w:val="bottom"/>
          </w:tcPr>
          <w:p>
            <w:pPr>
              <w:spacing w:after="0"/>
              <w:rPr>
                <w:sz w:val="24"/>
                <w:szCs w:val="24"/>
                <w:color w:val="auto"/>
              </w:rPr>
            </w:pPr>
          </w:p>
        </w:tc>
        <w:tc>
          <w:tcPr>
            <w:tcW w:w="122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27.5 bps</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the foregoing, (a) the Applicable Rate shall be determined as of the end of each fiscal quarter of the Borrower based upon the Borrower’s annual or quarterly consolidated financial statements delivered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and (b) each change in the Applicable Rate resulting from a change in the Total Net Leverage Ratio shall be effective during the period commencing on and including the date of delivery to the Administrative Agent of such consolidated financial statements indicating such change and ending on the date immediately preceding the effective date of the next such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Total Net Leverage Ratio shall be deemed to be in Category V at the option of the Administrative Agent or at the request of the Required Lenders if the Borrower fails to deliver the annual or quarterly consolidated financial statements required to be delivered by it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during the period from the expiration of the time for delivery thereof until such consolidated financial statements are delivered.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approved by the Administrative Agent.</w:t>
      </w:r>
    </w:p>
    <w:p>
      <w:pPr>
        <w:spacing w:after="0" w:line="17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Commitment</w:t>
      </w:r>
      <w:r>
        <w:rPr>
          <w:rFonts w:ascii="Times New Roman" w:cs="Times New Roman" w:eastAsia="Times New Roman" w:hAnsi="Times New Roman"/>
          <w:sz w:val="18"/>
          <w:szCs w:val="18"/>
          <w:color w:val="auto"/>
        </w:rPr>
        <w:t xml:space="preserve">” means, at any time, the aggregate Commitments of all Lenders then in effect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the Aggregate Credit Exposure at such time.</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Amendment and Restatement Effective Date to but excluding the earlier of the Maturity Date and the date of termination of the Commitments.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with respect to any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them-removed from the definition of “Interest Period” pursuant to Section 2.25(d).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w:t>
      </w:r>
      <w:r>
        <w:rPr>
          <w:rFonts w:ascii="Times New Roman" w:cs="Times New Roman" w:eastAsia="Times New Roman" w:hAnsi="Times New Roman"/>
          <w:sz w:val="18"/>
          <w:szCs w:val="18"/>
          <w:color w:val="auto"/>
        </w:rPr>
        <w:t>” means each and any of the following bank services provided to any Loan Party or any Subsidiary by any Lender or any of its Affiliates: (a) credit cards for commercial customers (including, without limitation, “commercial credit cards” and purchasing cards), (b) stored value cards, (c) treasury management services (including, without limitation, controlled disbursement, automated clearinghouse transactions, return items, overdrafts and interstate depository network services) and (d) documentary services, and foreign currency exchange services.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Obligations</w:t>
      </w:r>
      <w:r>
        <w:rPr>
          <w:rFonts w:ascii="Times New Roman" w:cs="Times New Roman" w:eastAsia="Times New Roman" w:hAnsi="Times New Roman"/>
          <w:sz w:val="18"/>
          <w:szCs w:val="18"/>
          <w:color w:val="auto"/>
        </w:rPr>
        <w:t>” means any and all obligations of the Loan Parties or any Subsidiary, whether absolute or contingent and howsoever and whensoever created, arising, evidenced or acquired (including all renewals, extensions and modifications thereof and substitutions therefor) in connection with Banking Services, but excluding any Swap Agreement Obligations.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Adjusted Term SOFR or the then-current Benchmark;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Adjusted Term SOFR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2.25(a)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Benchmark Replacement as so determined would be less than the Floor, such Benchmark Replacement will be deemed to be the Floor for the purposes of this Agreement and the other Loan Documents.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earliest to occur of the following events with respect to any then-current Benchmark:</w:t>
      </w:r>
    </w:p>
    <w:p>
      <w:pPr>
        <w:spacing w:after="0" w:line="225" w:lineRule="exact"/>
        <w:rPr>
          <w:sz w:val="20"/>
          <w:szCs w:val="20"/>
          <w:color w:val="auto"/>
        </w:rPr>
      </w:pPr>
    </w:p>
    <w:p>
      <w:pPr>
        <w:jc w:val="both"/>
        <w:ind w:firstLine="656"/>
        <w:spacing w:after="0" w:line="266" w:lineRule="auto"/>
        <w:tabs>
          <w:tab w:leader="none" w:pos="16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7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clause (c) of the definition of “Benchmark Transition Event,” the first date on which such Benchmark (or published component used in eh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non-representativeness will be determined by reference to the most recent statement or publication referenced in such clause (c) and even in any Available Tenor of such Benchmark (or such component thereof) continues to be provided on such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1" w:name="page32"/>
    <w:bookmarkEnd w:id="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any then-current Benchmark:</w:t>
      </w:r>
    </w:p>
    <w:p>
      <w:pPr>
        <w:spacing w:after="0" w:line="225" w:lineRule="exact"/>
        <w:rPr>
          <w:sz w:val="20"/>
          <w:szCs w:val="20"/>
          <w:color w:val="auto"/>
        </w:rPr>
      </w:pPr>
    </w:p>
    <w:p>
      <w:pPr>
        <w:jc w:val="both"/>
        <w:ind w:firstLine="656"/>
        <w:spacing w:after="0" w:line="261" w:lineRule="auto"/>
        <w:tabs>
          <w:tab w:leader="none" w:pos="15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8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with jurisdiction over the administrator for such Benchmark (or such component) ,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8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the period (if any) (a) beginning at the time that a Benchmark Replacement Date has occurred if, at such time, no Benchmark Replacement has replaced the then-current Benchmark for all purposes hereunder and under any Loan Document in accordance with Section 2.25 and (b) ending at the time that a Benchmark Replacement has replaced the then-current Benchmark for all purposes hereunder and under any Loan Document in accordance with Section 2.25.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means, with respect to any U.S. Federal withholding Tax, the beneficial owner, for U.S. Federal income tax purposes, to whom such Tax relates.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means an “affiliate” (as such term is defined under, and interpreted in accordance with 12 U.S.C. 1841(k)) of a party.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Billing Statement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2.18(g)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ExlService Holdings, Inc., a Delaware corporation.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made, converted or continued on the same date and, in the case of Term SOFR Loans, as to which a single Interest Period is in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request by the Borrower for a 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that is not a Saturday, Sunday or other day on which commercial banks in New York City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when used in connection with a Term SOFR Loan, the term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also exclude any day which is not a U.S. Government Securities Business Day.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without duplication, any expenditure for any purchase or other acquisition of any asset which would be classified as a fixed or capital asset on a consolidated balance sheet of the Borrower and its Subsidiaries prepared in accordance with GAAP. Notwithstanding the foregoing, Capital Expenditures shall not include, without duplication: (a) the consideration for any Permitted Acquisition, or any increase in fixed or capital assets on such consolidated balance sheet attributable to Permitted Acquisitions, (b) capital expenditures to the extent financed with the proceeds of any casualty insurance claim or condemnation proceeding or any asset sale permitted hereunder, (c) capital expenditures to the extent financed with Indebtedness (other than the Loans and Letters of Credit) permitted hereunder, (d) capital expenditures to the extent financed with the proceeds of the issuance of Equity Interests by the Borrower or any of its Subsidiaries permitted hereunder so long as, and to the extent that, prior to such issuance the Borrower or such Subsidiary expressly designates in a written statement to the Administrative Agent that the proceeds thereof will be used for capital expenditures, and (e) any such expenditures to the extent the Borrower has received reimbursement in cash from a third party other than the Borrower or one or more of its Subsidiaries (such as, for example, a landlord or a seller of assets pursuant to a Permitted Acquisition) and for which none of the Borrower or any of its Subsidiaries has provided or is required to provide any specific consideration to such third party or other person for such reimbursements.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it being understood that solely with respect to any change in GAAP after the Effective Date with respect to the accounting for leases as either operating leases or capital leases, any lease that at the time it is entered into is not (or would not be) a capital lease under GAAP as then in effect shall not be treated as a capital lease notwithstanding any such later change in GAAP.</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656"/>
        <w:spacing w:after="0" w:line="266" w:lineRule="auto"/>
        <w:tabs>
          <w:tab w:leader="none" w:pos="1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7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commercial paper maturing within one (1) year from the date of acquisition thereof and having, at such date of acquisition, the highest credit rating obtainable from S&amp;P or from Moody’s;</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49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certificates of deposit, bankers’ acceptances and time deposits maturing within one (1) year from the date of acquisition thereof issued or guaranteed by or placed with, and money market deposit accounts issued or offered by (i) any domestic office of any commercial bank organized under the laws of the United States of America or any State thereof which has a combined capital and surplus and undivided profits of not less than $500 million, or (ii) the State Bank of India (U.S. Branch) so long as the aggregate amount of such investments described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does not at any time exceed $30 million;</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48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fully collateralized repurchase agreements with a term of not more than 30 days for securities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entered into with a financial institution satisfying the criteria described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that (i) comply with the criteria set forth in Securities and Exchange Commission Rule 2a-7 under the Investment Company Act of 1940, (ii) are rated AAA by S&amp;P and Aaa by Moody’s and (iii) have portfolio assets of at least $5 billion;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6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direct obligations issued by any state of the United States or any political subdivision of any such state or any public instrumentality thereof maturing within one (1) year from the date of acquisition thereof and, at the time of acquisition, having one of the two highest ratings obtainable from either S&amp;P or Moody’s; and</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6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by foreign Subsidiaries of the Borrower consistent with the Borrower’s investment guidelines as approved from time to time by the Borrower’s board of directors.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of Equity Interests representing more than 40% of the aggregate ordinary voting power represented by the issued and outstanding Equity Interests of the Borrower, or (b) the occupation of a majority of the seats (other than vacant seats) on the board of directors of the Borrower by Persons who were neither</w:t>
      </w:r>
    </w:p>
    <w:p>
      <w:pPr>
        <w:spacing w:after="0" w:line="3" w:lineRule="exact"/>
        <w:rPr>
          <w:sz w:val="20"/>
          <w:szCs w:val="20"/>
          <w:color w:val="auto"/>
        </w:rPr>
      </w:pPr>
    </w:p>
    <w:p>
      <w:pPr>
        <w:ind w:left="5580" w:right="3080" w:hanging="5572"/>
        <w:spacing w:after="0" w:line="761" w:lineRule="auto"/>
        <w:tabs>
          <w:tab w:leader="none" w:pos="2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nominated or approved by the board of directors of the Borrower nor (ii) appointed by directors so nominated.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(or, with respect to any Lender, such later date on which such Lender becomes a party to this Agreement) of any of the following: (a) the adoption or taking effect of any law, rule, regulation or treaty; (b) any change in any law, rule, regulation or treaty or in the administration, interpretation or application thereof by any Governmental Authority; or (c) compliance by any Lender or any Issuing Bank (or, for purposes of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by any lending office of such Lender or by such Lender’s or such Issuing Bank’s holding company, if any) with any request, guideline, requirement or directive (whether or not having the force of law) of any Governmental Authority made or issued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Citi</w:t>
      </w:r>
      <w:r>
        <w:rPr>
          <w:rFonts w:ascii="Times New Roman" w:cs="Times New Roman" w:eastAsia="Times New Roman" w:hAnsi="Times New Roman"/>
          <w:sz w:val="18"/>
          <w:szCs w:val="18"/>
          <w:color w:val="auto"/>
        </w:rPr>
        <w:t>” means Citibank, N.A., a national banking association, in its individual capacity, and its successors.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has the meaning given to “Collateral” in the Security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collectively, the Security Agreement and any other documents granting a Lien upon the Collateral as security for payment of the Secured Obligations.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with respect to each Lender, the commitment, if any, of such Lender to make Loans and to acquire participations in Letters of Credit hereunder, expressed as an amount representing the maximum possible aggregate amount of such Lender’s Credit Exposure hereunder, as such commitment may be reduced or increased from time to time pursuant to (a)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and (b) assignments by or to such Lender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The amount of each Lender’s Commitment is set forth on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or in the Assignment and Assumption pursuant to which such Lender shall have assumed its Commitment, as applicable. The aggregate amount of the Lenders’ Commitments as of the Amendment and Restatement Effective Date is $400 million.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means the Schedule attached hereto identified as such.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 successor statute.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xml:space="preserve">” means with respect to either the use or administration of Adjusted Term SOFR or the use, administration, adoption or implementation of any Benchmark Replacement, any technical, administrative or operational changes (including changes to the definition of “ABR,” the definition of “Business Day,” the definition of “U.S. Government Securities Business Day,” the definition of “Interest Period” or “Interest Payment Date”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other technical, administrative or operational matters) that the Administrative Agent, following consultation with the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following consultation with the Borrower, decides is reasonably necessary in connection with the administration of this Agreement and the other Loan Documents).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means, with respect to any Lender at any time, the sum of the outstanding principal amount of such Lender’s Loans and its LC Exposure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the Administrative Agent, any Issuing Bank or any Lender.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such term in, and shall be interpreted in accordance with, 12 C.F.R. §§ 252.81, 47.2 or 382.1, as applicable.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any Lender that (a) has failed, within two (2) Business Days of the date required to be funded or paid, to (i) fund any portion of its Loans, (ii) fund any portion of its participations in Letters of Credit or (iii) pay over to any Credit Party any other amount required to be paid by it hereunder, unless,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such Credit Party’s receipt of such certification in form and substance satisfactory to it and the Administrative Agent, (d) has become the subject of a Bankruptcy Event, or (e) has become (or whose direct or indirect parent company has become) subject to a Bail-In Action.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Documentation Agents</w:t>
      </w:r>
      <w:r>
        <w:rPr>
          <w:rFonts w:ascii="Times New Roman" w:cs="Times New Roman" w:eastAsia="Times New Roman" w:hAnsi="Times New Roman"/>
          <w:sz w:val="18"/>
          <w:szCs w:val="18"/>
          <w:color w:val="auto"/>
        </w:rPr>
        <w:t>” mean JPMorgan Chase Bank, N.A. and Bank of America, N.A. in their capacities as documentation agents.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means, for any period, the sum of:</w:t>
      </w:r>
    </w:p>
    <w:p>
      <w:pPr>
        <w:spacing w:after="0" w:line="223" w:lineRule="exact"/>
        <w:rPr>
          <w:sz w:val="20"/>
          <w:szCs w:val="20"/>
          <w:color w:val="auto"/>
        </w:rPr>
      </w:pPr>
    </w:p>
    <w:p>
      <w:pPr>
        <w:ind w:left="1360" w:hanging="704"/>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Income for such period; </w:t>
      </w:r>
      <w:r>
        <w:rPr>
          <w:rFonts w:ascii="Times New Roman" w:cs="Times New Roman" w:eastAsia="Times New Roman" w:hAnsi="Times New Roman"/>
          <w:sz w:val="18"/>
          <w:szCs w:val="18"/>
          <w:i w:val="1"/>
          <w:iCs w:val="1"/>
          <w:u w:val="single" w:color="auto"/>
          <w:color w:val="auto"/>
        </w:rPr>
        <w:t>plus</w:t>
      </w:r>
    </w:p>
    <w:p>
      <w:pPr>
        <w:spacing w:after="0" w:line="227"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deducted in determining Net Income for such period, the sum of:</w:t>
      </w:r>
    </w:p>
    <w:p>
      <w:pPr>
        <w:spacing w:after="0" w:line="22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for such period;</w:t>
      </w:r>
    </w:p>
    <w:p>
      <w:pPr>
        <w:spacing w:after="0" w:line="22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local and foreign income tax expense for such period;</w:t>
      </w:r>
    </w:p>
    <w:p>
      <w:pPr>
        <w:spacing w:after="0" w:line="22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attributable to depreciation and amortization expense for such period;</w:t>
      </w:r>
    </w:p>
    <w:p>
      <w:pPr>
        <w:spacing w:after="0" w:line="22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intangibles (including, but not limited to, goodwill) for such period;</w:t>
      </w:r>
    </w:p>
    <w:p>
      <w:pPr>
        <w:spacing w:after="0" w:line="22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non-cash charges, expenses or losses for such period;</w:t>
      </w:r>
    </w:p>
    <w:p>
      <w:pPr>
        <w:spacing w:after="0" w:line="225" w:lineRule="exact"/>
        <w:rPr>
          <w:rFonts w:ascii="Times New Roman" w:cs="Times New Roman" w:eastAsia="Times New Roman" w:hAnsi="Times New Roman"/>
          <w:sz w:val="18"/>
          <w:szCs w:val="18"/>
          <w:color w:val="auto"/>
        </w:rPr>
      </w:pPr>
    </w:p>
    <w:p>
      <w:pPr>
        <w:ind w:left="2220" w:hanging="916"/>
        <w:spacing w:after="0"/>
        <w:tabs>
          <w:tab w:leader="none" w:pos="2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compensation expenses, including as a result of any grant of equity or options to employees, officers, directors 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w:t>
      </w:r>
    </w:p>
    <w:p>
      <w:pPr>
        <w:spacing w:after="0" w:line="206"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3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costs and expenses incurred on or prior to the Effective Date with respect to the Transactions and (y) fees, costs and expenses incurred on or prior to the Amendment and Restatement Effective Date with respect to the Amendment and Restatement;</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2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charges and losses incurred in such period and which are reimbursed in cash during such period by Persons (other than the Borrower and its Subsidiaries) so long as such payments were not added in determining Net Income for such period;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30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fees, costs and expenses directly incurred during such period in connection with any of the following which are attempted, whether or not consummated: any Permitted Acquisition and any related debt or equity offering undertaken in connection therewith (in respect of which all or substantially all of the proceeds are intended to be used to pay the cash consideration for such Permitted Acquisition);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2240" w:hanging="936"/>
        <w:spacing w:after="0"/>
        <w:tabs>
          <w:tab w:leader="none" w:pos="2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purchase accounting adjustments made during such period;</w:t>
      </w:r>
    </w:p>
    <w:p>
      <w:pPr>
        <w:spacing w:after="0" w:line="22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of business interruption insurance received during such period;</w:t>
      </w:r>
    </w:p>
    <w:p>
      <w:pPr>
        <w:spacing w:after="0" w:line="22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losses on financial derivatives recognized in such period in accordance with SFAS No. 133;</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40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write-off or amortization made in such period of deferred financing costs or any write-down of assets or asset value carried on the balance sheet of the Borrower or any of its Subsidiaries;</w:t>
      </w:r>
    </w:p>
    <w:p>
      <w:pPr>
        <w:spacing w:after="0" w:line="161"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one-time restructuring charges incurred during such period (determined in accordance with GAAP);</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38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expected “run-rate” cost savings and synergies (collectively, “</w:t>
      </w:r>
      <w:r>
        <w:rPr>
          <w:rFonts w:ascii="Times New Roman" w:cs="Times New Roman" w:eastAsia="Times New Roman" w:hAnsi="Times New Roman"/>
          <w:sz w:val="18"/>
          <w:szCs w:val="18"/>
          <w:u w:val="single" w:color="auto"/>
          <w:color w:val="auto"/>
        </w:rPr>
        <w:t>Expected Cost Savings</w:t>
      </w:r>
      <w:r>
        <w:rPr>
          <w:rFonts w:ascii="Times New Roman" w:cs="Times New Roman" w:eastAsia="Times New Roman" w:hAnsi="Times New Roman"/>
          <w:sz w:val="18"/>
          <w:szCs w:val="18"/>
          <w:color w:val="auto"/>
        </w:rPr>
        <w:t xml:space="preserve">”) (net of actual amounts realized) that are reasonably identifiable and factually supportable (in the good faith determination of the Borrower) related to any acquisition, disposition, restructuring or cost savings initiative;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such Expected Cost Savings are expected by the Borrower in good faith to be realized within 12 months of the consummation of the event giving rise thereto and (B) the aggregate amount of Expected Cost Savings shall not exceed 10% of EBITDA for the relevant period (calculated prior to giving effect to such add-back); and</w:t>
      </w:r>
    </w:p>
    <w:p>
      <w:pPr>
        <w:spacing w:after="0" w:line="183" w:lineRule="exact"/>
        <w:rPr>
          <w:rFonts w:ascii="Times New Roman" w:cs="Times New Roman" w:eastAsia="Times New Roman" w:hAnsi="Times New Roman"/>
          <w:sz w:val="18"/>
          <w:szCs w:val="18"/>
          <w:color w:val="auto"/>
        </w:rPr>
      </w:pPr>
    </w:p>
    <w:p>
      <w:pPr>
        <w:ind w:left="2280" w:hanging="976"/>
        <w:spacing w:after="0"/>
        <w:tabs>
          <w:tab w:leader="none" w:pos="2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non-cash charges (but excluding any non-cash charge in respect of an item that was included in Net Income in a</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period); </w:t>
      </w:r>
      <w:r>
        <w:rPr>
          <w:rFonts w:ascii="Times New Roman" w:cs="Times New Roman" w:eastAsia="Times New Roman" w:hAnsi="Times New Roman"/>
          <w:sz w:val="18"/>
          <w:szCs w:val="18"/>
          <w:i w:val="1"/>
          <w:iCs w:val="1"/>
          <w:u w:val="single" w:color="auto"/>
          <w:color w:val="auto"/>
        </w:rPr>
        <w:t>minus</w:t>
      </w:r>
    </w:p>
    <w:p>
      <w:pPr>
        <w:spacing w:after="0" w:line="207" w:lineRule="exact"/>
        <w:rPr>
          <w:sz w:val="20"/>
          <w:szCs w:val="20"/>
          <w:color w:val="auto"/>
        </w:rPr>
      </w:pPr>
    </w:p>
    <w:p>
      <w:pPr>
        <w:ind w:firstLine="656"/>
        <w:spacing w:after="0" w:line="282" w:lineRule="auto"/>
        <w:tabs>
          <w:tab w:leader="none" w:pos="15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duplication and to the extent included in Net Income, (i) any cash payments made during such period in respect of non-cash charges described in </w:t>
      </w:r>
      <w:r>
        <w:rPr>
          <w:rFonts w:ascii="Times New Roman" w:cs="Times New Roman" w:eastAsia="Times New Roman" w:hAnsi="Times New Roman"/>
          <w:sz w:val="18"/>
          <w:szCs w:val="18"/>
          <w:u w:val="single" w:color="auto"/>
          <w:color w:val="auto"/>
        </w:rPr>
        <w:t>clause (a)(xvi)</w:t>
      </w:r>
      <w:r>
        <w:rPr>
          <w:rFonts w:ascii="Times New Roman" w:cs="Times New Roman" w:eastAsia="Times New Roman" w:hAnsi="Times New Roman"/>
          <w:sz w:val="18"/>
          <w:szCs w:val="18"/>
          <w:color w:val="auto"/>
        </w:rPr>
        <w:t xml:space="preserve"> taken in a prior period and (ii) any extraordinary gains and any non-cash items of income for such period;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calculated for the Borrower and its Subsidiaries on a consolidated basis in accordance with GAAP. For the purposes of calculating EBITDA for any period of four consecutive fiscal quarters (each, a “</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 (i) if at any time during such Reference Period the Borrower or any Subsidiary shall have made any sale, transfer, or disposition of property, EBITDA for such Reference Period shall be reduced by an amount equal to the EBITDA (if positive) attributable to the property that is the subject of such sale, transfer, or disposition, as applicable, for such Reference Period or increased by an amount equal to the EBITDA (if negative) attributable thereto for such Reference Period, and (ii) if during such Reference Period the Borrower or any of its Subsidiaries shall have made a Permitted Acquisition for which the EBITDA attributable to the acquired Person or assets in connection therewith for the most recently ended four consecutive fiscal quarter period is greater than $5 million, EBITDA for such Reference Period shall be calculated after giving effect thereto on a pro forma basis as if such Permitted Acquisition occurred on the first day of such Reference Period.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ECP</w:t>
      </w:r>
      <w:r>
        <w:rPr>
          <w:rFonts w:ascii="Times New Roman" w:cs="Times New Roman" w:eastAsia="Times New Roman" w:hAnsi="Times New Roman"/>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w:t>
      </w:r>
    </w:p>
    <w:p>
      <w:pPr>
        <w:jc w:val="both"/>
        <w:ind w:firstLine="8"/>
        <w:spacing w:after="0" w:line="255" w:lineRule="auto"/>
        <w:tabs>
          <w:tab w:leader="none" w:pos="267" w:val="left"/>
        </w:tabs>
        <w:numPr>
          <w:ilvl w:val="0"/>
          <w:numId w:val="2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definition and is subject to the supervision of an EEA Resolution Authority,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of an EEA Resolution Authority with its parent.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November 21, 2017.</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System</w:t>
      </w:r>
      <w:r>
        <w:rPr>
          <w:rFonts w:ascii="Times New Roman" w:cs="Times New Roman" w:eastAsia="Times New Roman" w:hAnsi="Times New Roman"/>
          <w:sz w:val="18"/>
          <w:szCs w:val="18"/>
          <w:color w:val="auto"/>
        </w:rPr>
        <w:t>” means any electronic system, including e-mail, e-fax, Intralinks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ClearPar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Debt Domain, Syndtrak and any other Internet or extranet-based site, whether such electronic system is owned, operated or hosted by the Administrative Agent and the Issuing Banks and any of its respective Related Parties or any other Person, providing for access to data protected by passcodes or other security system.</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employee health and safety matters.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Borrower or any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30-day notice period is waived); (b) the failure to make any “minimum required contribution” (as defined in Section 430(a) of the Code) with respect to any Plan, at the time and in the amount provided for in Section 430 of the Code; (c) 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in a distress termination described in Section 4041(c) of ERISA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has the meaning assigned to it in Section 8.10(a).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has the meaning assigned to it in Section 8.10(d).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has the meaning assigned to it in Section 8.10(d).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has the meaning assigned to it in Section 8.10(d).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has the meaning assigned to it in Section 8.10(d).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jc w:val="both"/>
        <w:ind w:firstLine="8"/>
        <w:spacing w:after="0" w:line="250" w:lineRule="auto"/>
        <w:tabs>
          <w:tab w:leader="none" w:pos="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imposed as a result of such Recipient being a resident of, being organized under the laws of, or having its principal office or, in the case of any Lender, its applicable lending office located in, the jurisdiction imposing such Tax (or any political subdivision thereof) or (ii) that are Other Connection Taxes; (b) in the case of a Lender, withholding Taxes imposed on amounts payable to or for the account of such Lender with respect to an applicable interest in a Loan, Note, Letter of Credit, Commitment or other Loan Document pursuant to a law in effect on the date on which (i) such Lender acquires such interest in the Loan, Note, Letter of Credit or Commitment (other than pursuant to an assignment request by the Borrower under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an amount that was due and payable, but not yet paid to</w:t>
      </w:r>
    </w:p>
    <w:p>
      <w:pPr>
        <w:spacing w:after="0" w:line="2"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such Lender’s assignor immediately before such Lender acquired the applicable interest in a Loan or Commitment or (B)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and (d) any U.S. Federal withholding Taxes imposed under FATCA.</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means each letter of credit issued under the Original Credit Agreement and existing on the Amendment and Restatement Effective Date.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Loans</w:t>
      </w:r>
      <w:r>
        <w:rPr>
          <w:rFonts w:ascii="Times New Roman" w:cs="Times New Roman" w:eastAsia="Times New Roman" w:hAnsi="Times New Roman"/>
          <w:sz w:val="18"/>
          <w:szCs w:val="18"/>
          <w:color w:val="auto"/>
        </w:rPr>
        <w:t>” means outstanding “Loans” under and as defined in the Original Credit Agreement as in effect immediately prior to the Amendment and Restatement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Obligations</w:t>
      </w:r>
      <w:r>
        <w:rPr>
          <w:rFonts w:ascii="Times New Roman" w:cs="Times New Roman" w:eastAsia="Times New Roman" w:hAnsi="Times New Roman"/>
          <w:sz w:val="18"/>
          <w:szCs w:val="18"/>
          <w:color w:val="auto"/>
        </w:rPr>
        <w:t>” has the meaning assigned to such term in Section 10.14.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Expected Cost Savings</w:t>
      </w:r>
      <w:r>
        <w:rPr>
          <w:rFonts w:ascii="Times New Roman" w:cs="Times New Roman" w:eastAsia="Times New Roman" w:hAnsi="Times New Roman"/>
          <w:sz w:val="18"/>
          <w:szCs w:val="18"/>
          <w:color w:val="auto"/>
        </w:rPr>
        <w:t>” has the meaning assigned to such term in the definition of “EBITDA”.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Commitment</w:t>
      </w:r>
      <w:r>
        <w:rPr>
          <w:rFonts w:ascii="Times New Roman" w:cs="Times New Roman" w:eastAsia="Times New Roman" w:hAnsi="Times New Roman"/>
          <w:sz w:val="18"/>
          <w:szCs w:val="18"/>
          <w:color w:val="auto"/>
        </w:rPr>
        <w:t xml:space="preserve">” means the Commitments, the maturity of which shall have been extended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Loans</w:t>
      </w:r>
      <w:r>
        <w:rPr>
          <w:rFonts w:ascii="Times New Roman" w:cs="Times New Roman" w:eastAsia="Times New Roman" w:hAnsi="Times New Roman"/>
          <w:sz w:val="18"/>
          <w:szCs w:val="18"/>
          <w:color w:val="auto"/>
        </w:rPr>
        <w:t>” means any Loans made pursuant to the Extended Commitments.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xml:space="preserve">” means an amendment to this Agreement (which may, at the option of the Administrative Agent and Borrower, be in the form of an amendment and restatement of this Agreement) among the Loan Parties, the applicable extending Lenders, the Administrative Agent and, to the extent required by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the Issuing Bank implementing an Extension in accordance with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Offer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applicable intergovernmental agreement with respect thereto.</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 xml:space="preserve">” means the covenants set forth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controller of the Borrower.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0.00%.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means that certain First Amendment to Credit Agreement, dated as of July 2, 2018, by the Borrower, the Loan Parties party thereto, the Administrative Agent and the Lenders party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means the date on which the conditions to effectiveness of the First Amendment were first satisfied or waived in accordance with the First Amendment. The First Amendment Effective Date occurred on July 2, 2018.</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that is not a “United States person” as defined in Section 7701(a)(30) of the Code.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Funded Indebtedness</w:t>
      </w:r>
      <w:r>
        <w:rPr>
          <w:rFonts w:ascii="Times New Roman" w:cs="Times New Roman" w:eastAsia="Times New Roman" w:hAnsi="Times New Roman"/>
          <w:sz w:val="18"/>
          <w:szCs w:val="18"/>
          <w:color w:val="auto"/>
        </w:rPr>
        <w:t xml:space="preserve">” means, with respect to any Person and without duplication, (i) all Indebtedness of such Person of the types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(other than the portion thereof consisting of contingent or unliquidated earn-outs),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of the definition of “Indebtedness”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(ii) all Indebtedness of others of the type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definition secured by (or for which the holder of such Indebtedness has an existing right, contingent or otherwise, to be secured by) a Lien on, or payable out of the proceeds of production from, any property or asset of such Person, whether or not the obligations secured thereby have been assumed by such Person and (iii) all Guarantees of such Person with respect to Indebtedness of others of the type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definition. The Funded Indebtedness of any Person shall include the Funded Indebtedness of any other entity (including any partnership in which such Person is a general partner) to the extent such Person is liable therefor as a result of such Person’s ownership interest in or other relationship with such entity, except to the extent the terms of such Funded Indebtedness provide that such Person is not liable therefor.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of any of the foregoing,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w:t>
      </w:r>
    </w:p>
    <w:p>
      <w:pPr>
        <w:spacing w:after="0" w:line="3" w:lineRule="exact"/>
        <w:rPr>
          <w:sz w:val="20"/>
          <w:szCs w:val="20"/>
          <w:color w:val="auto"/>
        </w:rPr>
      </w:pPr>
    </w:p>
    <w:p>
      <w:pPr>
        <w:jc w:val="both"/>
        <w:ind w:firstLine="8"/>
        <w:spacing w:after="0" w:line="255" w:lineRule="auto"/>
        <w:tabs>
          <w:tab w:leader="none" w:pos="26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Guarantee shall not include endorsements for collection or deposit in the ordinary course of business.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current accounts payable incurred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(j) obligations under any liquidated earn-out, (k) any other Off-Balance Sheet Liability and (l) any obligations with respect to any Swap Agreements to the extent required to be reflected as a liability on a balance sheet of such Person under GAAP.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subsection (a),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xml:space="preserve">” means a (a) natural person, (b) a Defaulting Lender, (c) holding company, investment vehicle or trust for, or owned and operated for the primary benefit of, a natural person or relative(s)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 million and a significant part of its activities consist of making or purchasing commercial loans and similar extensions of credit in the ordinary course of its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(d) a Loan Party or a Subsidiary or other Affiliate of a Loan Party.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means, at any date, the ratio of (a) EBITDA to (b) cash Interest Expense, all calculated for the period of four consecutive fiscal quarters ended on such date (or, if such date is not the last day of a fiscal quarter, ended on the last day of the fiscal quarter most recently ended prior to such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request by the Borrower to convert or continue a Borrowing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means, with reference to any period, total interest expense (including that attributable to Capital Lease Obligations) of the Borrower and its Subsidiaries for such period with respect to all outstanding Indebtedness of the Borrower and its Subsidiaries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calculated on a consolidated basis for the Borrower and its Subsidiaries for such period in accordance with GAAP.</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the first Business Day of each January, April, July and October and the Maturity Date, and (b) with respect to any Term SOFR Loan, the last day of the Interest Period applicable to the Borrowing of which such Loan is a part and, in the case of a Term SOFR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Term SOFR Borrowing, the period commencing on the date of such Borrowing and ending on the numerically corresponding day in the calendar month that is one, three or six months, or, if available to all Lenders, twelve months thereafter, as the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if any Interest Period would end on a day other than a Business Day, such Interest Period shall be extended to the next succeeding Business Day unless, in the case of a Term SOFR Borrowing only, such next succeeding Business Day would fall in the next calendar month, in which case such Interest Period shall end on the next preceding Business Day, (ii) any Interest Period pertaining to a Term SOFR Borrowing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may extend beyond the Maturity Date. For purposes hereof, the date of a Borrowing initially shall be the date on which such Borrowing is made and thereafter shall be the effective date of the most recent conversion or continuation of such Borrowing.</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Banks</w:t>
      </w:r>
      <w:r>
        <w:rPr>
          <w:rFonts w:ascii="Times New Roman" w:cs="Times New Roman" w:eastAsia="Times New Roman" w:hAnsi="Times New Roman"/>
          <w:sz w:val="18"/>
          <w:szCs w:val="18"/>
          <w:color w:val="auto"/>
        </w:rPr>
        <w:t>” means, individually and collectively as the context may require, each Lender, in its capacity as an issuer of Letters of Credit hereunder, and its successors in such capacity. Any Issuing Bank may, in its discretion, arrange for one or more Letters of Credit to be issued by Affiliates of such Issuing Bank, in which case the term “Issuing Bank” shall include any such Affiliate with respect to Letters of Credit issued by such Affiliate.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has the meaning assigned to such term in the definition of “LC Sublimit”.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any Issuing Bank pursuant to a Letter of Credit.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(a) the aggregate undrawn amount of all outstanding Letters of Credit at such time plus (b) the aggregate amount of all LC Disbursements relating to Letters of Credit that have not yet been reimbursed by or on behalf of the Borrower at such time. The LC Exposure of any Lender at any time shall be its Applicable Percentage of the total LC Exposure at such time.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Sublimit</w:t>
      </w:r>
      <w:r>
        <w:rPr>
          <w:rFonts w:ascii="Times New Roman" w:cs="Times New Roman" w:eastAsia="Times New Roman" w:hAnsi="Times New Roman"/>
          <w:sz w:val="18"/>
          <w:szCs w:val="18"/>
          <w:color w:val="auto"/>
        </w:rPr>
        <w:t xml:space="preserve">” means an aggregate amount equal to $20,000,000, subject to increase in accordance with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as to any Issuing Bank, such Issuing Bank’s commitment to provide a portion of the LC Sublimit shall not exceed such Issuing Bank’s Applicable Percentage (such amount as to any issuing Bank, its “</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Arrangers</w:t>
      </w:r>
      <w:r>
        <w:rPr>
          <w:rFonts w:ascii="Times New Roman" w:cs="Times New Roman" w:eastAsia="Times New Roman" w:hAnsi="Times New Roman"/>
          <w:sz w:val="18"/>
          <w:szCs w:val="18"/>
          <w:color w:val="auto"/>
        </w:rPr>
        <w:t>” means Citibank, N.A., PNC Bank, National Association, TD Bank, N.A. and HSBC Bank USA, National Association in their capacities as joint lead arrangers.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Bookrunners</w:t>
      </w:r>
      <w:r>
        <w:rPr>
          <w:rFonts w:ascii="Times New Roman" w:cs="Times New Roman" w:eastAsia="Times New Roman" w:hAnsi="Times New Roman"/>
          <w:sz w:val="18"/>
          <w:szCs w:val="18"/>
          <w:color w:val="auto"/>
        </w:rPr>
        <w:t>” means Citibank, N.A. and PNC Bank, National Association in their capacities as joint bookrunners.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and any other Person that shall have become a party hereto pursuant to an Assignment and Assumption, other than any such Person that ceases to be a party hereto pursuant to an Assignment and Assumption. Unless the context otherwise requires, the term “Lenders” includes the Issuing Banks.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each Existing Letter of Credit and the other letters of credit issued pursuant to this Agreement, and the term “Letter of Credit” means any one of them or each of them singularly, as the context may require.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the Notes, any Letter of Credit applications, the Collateral Documents, the Loan Guaranty and all other agreements, instruments, documents and certificates identified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executed and delivered to, or in favor of, the Administrative Agent or any Lenders and including all other pledges, powers of attorney, consents, assignments, contracts, notices, letter of credit agreements and all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the Agreement or such Loan Document as the same may be in effect at any and all times such reference becomes operative.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Guarantor</w:t>
      </w:r>
      <w:r>
        <w:rPr>
          <w:rFonts w:ascii="Times New Roman" w:cs="Times New Roman" w:eastAsia="Times New Roman" w:hAnsi="Times New Roman"/>
          <w:sz w:val="18"/>
          <w:szCs w:val="18"/>
          <w:color w:val="auto"/>
        </w:rPr>
        <w:t xml:space="preserve">” means (a) each of the Borrower’s wholly-owned Material Domestic Subsidiaries and (b) with respect to Secured Obligations owed by any other Loan Party or other Subsidiary,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any administrative requirements of the Administrative Agent, the Borrower may elect to add domestic Subsidiaries as Loan Guarantors so long as each such added Loan Guarantor complies with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of this Agreement as if it were a newly acquired wholly-owned Material Domestic Subsidiary at the time of such designation.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Guaranty</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the Borrower and each Loan Guarantor and their respective successors and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and advances made by the Lenders pursuant to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assets, operations, or financial condition of the Borrower and its Subsidiaries taken as a whole, (b) the ability of any Loan Party to perform any of its material obligations under the Loan Documents to which it is a party,</w:t>
      </w:r>
    </w:p>
    <w:p>
      <w:pPr>
        <w:jc w:val="both"/>
        <w:ind w:firstLine="8"/>
        <w:spacing w:after="0" w:line="255" w:lineRule="auto"/>
        <w:tabs>
          <w:tab w:leader="none" w:pos="2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material portion of the Collateral, or the Administrative Agent’s Liens (on behalf of itself and the Lenders) on any material portion of the Collateral or the priority of such Liens (in each case subject to Liens permitted pursuant to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or (d) the rights of or benefits available to the Administrative Agent, the Issuing Banks or the Lenders thereunder.</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Domestic Subsidiary</w:t>
      </w:r>
      <w:r>
        <w:rPr>
          <w:rFonts w:ascii="Times New Roman" w:cs="Times New Roman" w:eastAsia="Times New Roman" w:hAnsi="Times New Roman"/>
          <w:sz w:val="18"/>
          <w:szCs w:val="18"/>
          <w:color w:val="auto"/>
        </w:rPr>
        <w:t>” means (i) any domestic Subsidiary of the Borrower whose total assets, as of any date of determination, have a book value equal to or greater than $50 million, and (ii) any domestic Subsidiary of the Borrower having a direct Subsidiary that is a Material Domestic Subsidiary or Material Foreign Subsidiary.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Foreign Subsidiary</w:t>
      </w:r>
      <w:r>
        <w:rPr>
          <w:rFonts w:ascii="Times New Roman" w:cs="Times New Roman" w:eastAsia="Times New Roman" w:hAnsi="Times New Roman"/>
          <w:sz w:val="18"/>
          <w:szCs w:val="18"/>
          <w:color w:val="auto"/>
        </w:rPr>
        <w:t>” means any foreign Subsidiary of the Borrower whose total assets, as of any date of determination, have a book value equal to or greater than $30 million.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any Indebtedness (other than the Loans and Letters of Credit), or any obligations under Swap Agreements, of any one or more of the Borrower and its Subsidiaries in an aggregate principal amount exceeding $15 million. For purposes of determining Material Indebtedness, the aggregate principal amount of “obligations” of the Borrower or any Subsidiary in respect of any Swap Agreement at any time shall be the aggregate amount that the Borrower or such Subsidiary would be required to pay if such Swap Agreement were terminated at such time and after giving effect to any rights available under applicable laws or agreements with regard to collateral, netting, setoff or similar rights.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the earliest to occur of (a) April 18, 2027, (b) any earlier date on which the Commitments are reduced to zero or otherwise terminated pursuant to the terms hereof and (c) the date that the Loans, if any, are declared due and payable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individual Lenders may elect to extend the Maturity Date applicable to their Loans and Commitments pursuant to the terms and conditions of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Liability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xml:space="preserve">” means, for any period, the consolidated net income (or loss) of the Borrower and its Subsidiaries, determined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there shall be excluded from such net income (to the extent otherwise included therein), without duplication: (a) the income (or deficit) of any Person accrued prior to the date it becomes a Subsidiary or is merged into or consolidated with the Borrower or any of its Subsidiaries, (b) the income (or deficit) of any Person (other than a Subsidiary) in which the Borrower or any of its Subsidiaries has an ownership interest, except to the extent that any such income is actually received by the Borrower or such Subsidiary in the form of dividends or similar distributions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Non-Paying Guarantor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have the meanings assigned to such terms in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Increase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Obligated Party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Borrower and its Subsidiaries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Off-Balance Sheet Liability</w:t>
      </w:r>
      <w:r>
        <w:rPr>
          <w:rFonts w:ascii="Times New Roman" w:cs="Times New Roman" w:eastAsia="Times New Roman" w:hAnsi="Times New Roman"/>
          <w:sz w:val="18"/>
          <w:szCs w:val="18"/>
          <w:color w:val="auto"/>
        </w:rPr>
        <w:t>” of a Person means (a) any repurchase obligation or liability of such Person with respect to accounts or notes receivable sold by such Person (other than any customary repurchase obligations resulting from a breach of representations and warranties, covenants, servicing obligations and indemnities under a securitization facility),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sheets of such Person (other than operating leases) but does constitute an off-balance sheet liability under GAAP.</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Credit Agreement</w:t>
      </w:r>
      <w:r>
        <w:rPr>
          <w:rFonts w:ascii="Times New Roman" w:cs="Times New Roman" w:eastAsia="Times New Roman" w:hAnsi="Times New Roman"/>
          <w:sz w:val="18"/>
          <w:szCs w:val="18"/>
          <w:color w:val="auto"/>
        </w:rPr>
        <w:t>” has the meaning assigned to such term in the preliminary statements to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Taxes (other than a connection solely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Guarantor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has the meaning specified in the definition of “Term SOFR” set forth in this Section 1.01.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means any Acquisition in which each of the following conditions is satisfied:</w:t>
      </w:r>
    </w:p>
    <w:p>
      <w:pPr>
        <w:spacing w:after="0" w:line="225" w:lineRule="exact"/>
        <w:rPr>
          <w:sz w:val="20"/>
          <w:szCs w:val="20"/>
          <w:color w:val="auto"/>
        </w:rPr>
      </w:pPr>
    </w:p>
    <w:p>
      <w:pPr>
        <w:ind w:firstLine="656"/>
        <w:spacing w:after="0" w:line="282" w:lineRule="auto"/>
        <w:tabs>
          <w:tab w:leader="none" w:pos="1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or business which is the subject of such Acquisition is in a similar or complimentary line of business as those of the Borrower and its Subsidiaries on the Effective Date;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9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governmental, corporate and material third-party approvals and consents necessary in connection with such Acquisition shall have been obtained and be in full force and effect;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6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acquiring a Person, unless such Person is contemporaneously merged with and into the Borrower or a Subsidiary of the Borrower, such Person becomes a wholly owned direct or indirect Subsidiary of the Borrower and, simultaneously with such Acquisition, a Loan Party to the extent required by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with such Person’s Equity Interests being pledged as Collateral to the extent required by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7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shall be consummated in accordance with the terms of the purchase or acquisition agreement executed in connection therewith and with all other material agreements, instruments and documents implementing such Acquisition and in compliance with applicable law and regulatory approvals;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97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or would result therefrom and all representations and warranties contained in this Agreement shall be true and correct in all material respects on the date of the consummation of such Acquisition, except to the extent that any such representation or warranty specifically refers to an earlier date, in which case they shall be true and correct in all material respects as of such earlier date; and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9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Acquisition (including the incurrence, assumption or acquisition of any Indebtedness in connection therewith) the Total Net Leverage Ratio, calculated on a pro forma basis as if such Acquisition had been consummated at the beginning of such period, shall not exceed 3.00:1.00 (or, if the Borrower has elected an Adjusted Covenant Period with respect to such Acquisition, 3.50:1:00).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620" w:hanging="964"/>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imposed by law for taxes that are not yet due or are being contested in compliance with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carriers’, warehousemen’s, mechanics’, materialmen’s, repairmen’s and other like Liens imposed by law, arising in the ordinary course of business and securing obligations that are not overdue by more than 60 days or are being contested in compliance with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66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deposits made in the ordinary course of business in compliance with workers’ compensation, unemployment insurance and other social security laws or regulations;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6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61" w:lineRule="exact"/>
        <w:rPr>
          <w:rFonts w:ascii="Times New Roman" w:cs="Times New Roman" w:eastAsia="Times New Roman" w:hAnsi="Times New Roman"/>
          <w:sz w:val="18"/>
          <w:szCs w:val="18"/>
          <w:color w:val="auto"/>
        </w:rPr>
      </w:pPr>
    </w:p>
    <w:p>
      <w:pPr>
        <w:ind w:left="1620" w:hanging="964"/>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judgment liens in respect of judgments that do not constitute an Event of Default under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85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covenants, conditions, zoning restrictions, rights-of-way, minor defects or other irregularities in title and/or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 and</w:t>
      </w:r>
    </w:p>
    <w:p>
      <w:pPr>
        <w:spacing w:after="0" w:line="175" w:lineRule="exact"/>
        <w:rPr>
          <w:rFonts w:ascii="Times New Roman" w:cs="Times New Roman" w:eastAsia="Times New Roman" w:hAnsi="Times New Roman"/>
          <w:sz w:val="18"/>
          <w:szCs w:val="18"/>
          <w:color w:val="auto"/>
        </w:rPr>
      </w:pPr>
    </w:p>
    <w:p>
      <w:pPr>
        <w:ind w:left="1580" w:hanging="924"/>
        <w:spacing w:after="0"/>
        <w:tabs>
          <w:tab w:leader="none" w:pos="1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interest or title of a lessor in property leased by the Borrower or any Subsidiary;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“Permitted Encumbrances” shall not include any Lien securing Indebtedness.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per annum publicly announced from time to time by Citibank, N.A. as its prime rate in effect at its principal offices in New York City. Each change in the Prime Rate shall be effective from and including the date such change is publicly announced as being effective.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means, in respect of any Swap Obligation, each Loan Party that has total assets exceeding $10 million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Material Acquisition</w:t>
      </w:r>
      <w:r>
        <w:rPr>
          <w:rFonts w:ascii="Times New Roman" w:cs="Times New Roman" w:eastAsia="Times New Roman" w:hAnsi="Times New Roman"/>
          <w:sz w:val="18"/>
          <w:szCs w:val="18"/>
          <w:color w:val="auto"/>
        </w:rPr>
        <w:t>” means any Permitted Acquisition, if the aggregate consideration paid or to be paid in respect of such Permitted Acquisition exceeds $75,000,000 and the Borrower has designated such Permitted Acquisition as a “Qualifying Material Acquisition” by written notice to the Administrative Agent within thirty (30) days following the consummation of a Permitted Acquisition, together with a description of such Permitted Acquisition, which shall include the name of the acquired target or a summary description of the acquired assets and shall confirm that the aggregate purchase price for such Permitted Acquisition exceeds $75,000,000. For the avoidance of doubt, once any Permitted Acquisition has been so designated as a Qualifying Material Acquisition, it may be designated as any other Qualifying Material Acquisition.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as applicable, (a) the Administrative Agent, (b) any Lender and (c) any Issuing Bank, or any combination thereof (as the context requires).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 has the meaning assigned to such term in the definition of “EBITDA”.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4.01(m)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Fund</w:t>
      </w:r>
      <w:r>
        <w:rPr>
          <w:rFonts w:ascii="Times New Roman" w:cs="Times New Roman" w:eastAsia="Times New Roman" w:hAnsi="Times New Roman"/>
          <w:sz w:val="18"/>
          <w:szCs w:val="18"/>
          <w:color w:val="auto"/>
        </w:rPr>
        <w:t>” means with respect to any Person that is an investment fund, any other investment fund that invests in securities and that is managed or advised by the same investment advisor as such Person or by an Affiliate of such investment advisor.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of such Person and such Person’s Affiliates.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Indemnitee Parties</w:t>
      </w:r>
      <w:r>
        <w:rPr>
          <w:rFonts w:ascii="Times New Roman" w:cs="Times New Roman" w:eastAsia="Times New Roman" w:hAnsi="Times New Roman"/>
          <w:sz w:val="18"/>
          <w:szCs w:val="18"/>
          <w:color w:val="auto"/>
        </w:rPr>
        <w:t>” shall mean with respect to any specified Indemnitee, such Indemnitee’s controlled Affiliates and the respective officers, directors, employees, advisors, agents or other representatives of such Indemnitee or such Indemnitee’s controlled Affiliates acting at the direction of such Indemnitee.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releasing, spilling, leaking, pumping, pouring, emitting, emptying, discharging, injecting, escaping, leaching, migrating, disposing or dumping of any substance into the environment.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Requested Increase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Requested Increase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Lenders (other than Defaulting Lenders) having Credit Exposure and unused Commitments representing more than 50% of the sum of the total Credit Exposure and unused Commitments at such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option, warrant or other right to acquire any such Equity Interests in the Borrower.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or territory which is the subject or target of any Sanctions.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xml:space="preserve">” means, at any time, (a) any Person listed in any Sanctions-related list of designated Persons maintained by the Office of Foreign Assets Control of the U.S. Department of the Treasury, the U.S. Department of State or by the United Nations Security Council, the European Union or any EU member state, (b) any Person operating, organized or resident in a Sanctioned Country or (c) any Person majority-owned or controlled by any such Person or Persons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Banking Services Obligations</w:t>
      </w:r>
      <w:r>
        <w:rPr>
          <w:rFonts w:ascii="Times New Roman" w:cs="Times New Roman" w:eastAsia="Times New Roman" w:hAnsi="Times New Roman"/>
          <w:sz w:val="18"/>
          <w:szCs w:val="18"/>
          <w:color w:val="auto"/>
        </w:rPr>
        <w:t>” has the meaning given to such term in the definition of “Secured Obligations.”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xml:space="preserve">” means all Obligations, together with all (i) Banking Services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Banking Services Obligations (other than Banking Services Obligations owing to the Administrative Agent) shall constitute “Secured Obligations” unless the Borrower and the applicable Secured Party shall each have provided written notice to the Administrative Agent (with a copy of such written notice sent by email to secured.designationnotice@citi.com) (such Banking Services Obligations, “</w:t>
      </w:r>
      <w:r>
        <w:rPr>
          <w:rFonts w:ascii="Times New Roman" w:cs="Times New Roman" w:eastAsia="Times New Roman" w:hAnsi="Times New Roman"/>
          <w:sz w:val="18"/>
          <w:szCs w:val="18"/>
          <w:u w:val="single" w:color="auto"/>
          <w:color w:val="auto"/>
        </w:rPr>
        <w:t>Secured Banking Services Obligations</w:t>
      </w:r>
      <w:r>
        <w:rPr>
          <w:rFonts w:ascii="Times New Roman" w:cs="Times New Roman" w:eastAsia="Times New Roman" w:hAnsi="Times New Roman"/>
          <w:sz w:val="18"/>
          <w:szCs w:val="18"/>
          <w:color w:val="auto"/>
        </w:rPr>
        <w:t>”), (ii) Swap Agreement Obligations owing to any Person that, at the time of entering into such arrangement with a Loan Party or any Subsidiary, was the Administrative Agent, a Lender or an Affiliate thereof, in each case, with respect to such Swap Agreement Obligations, to the extent designated by the Borrower in a written statement to the Administrative Agent (with a copy of such written notice sent by email to secured.designationnotice@citi.com) as constituting Secured Obligations (such Swap Agreement Obligations, “</w:t>
      </w:r>
      <w:r>
        <w:rPr>
          <w:rFonts w:ascii="Times New Roman" w:cs="Times New Roman" w:eastAsia="Times New Roman" w:hAnsi="Times New Roman"/>
          <w:sz w:val="18"/>
          <w:szCs w:val="18"/>
          <w:u w:val="single" w:color="auto"/>
          <w:color w:val="auto"/>
        </w:rPr>
        <w:t>Secured Swap Agreement Obligations</w:t>
      </w:r>
      <w:r>
        <w:rPr>
          <w:rFonts w:ascii="Times New Roman" w:cs="Times New Roman" w:eastAsia="Times New Roman" w:hAnsi="Times New Roman"/>
          <w:sz w:val="18"/>
          <w:szCs w:val="18"/>
          <w:color w:val="auto"/>
        </w:rPr>
        <w:t xml:space="preserve">”) and (iii) Erroneous Payment Subrogation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definition of “Secured Obligations” shall not create any guarantee by any Guarantor of (or grant of security interest by any Guarantor to support, as applicable) any Excluded Swap Obligations of such Guarantor for purposes of determining any obligations of any Guarantor.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the Administrative Agent, each Lender, each Issuing Bank and each other provider of Secured Obligations as permitted pursuant to the definition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Swap Agreement Obligations</w:t>
      </w:r>
      <w:r>
        <w:rPr>
          <w:rFonts w:ascii="Times New Roman" w:cs="Times New Roman" w:eastAsia="Times New Roman" w:hAnsi="Times New Roman"/>
          <w:sz w:val="18"/>
          <w:szCs w:val="18"/>
          <w:color w:val="auto"/>
        </w:rPr>
        <w:t>” has the meaning given to such term in the definition of “Secured Obligations.”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that certain Pledge and Security Agreement, dated as of the Effective Date, among the Borrower, each Domestic Subsidiary of the Borrower party thereto from time to time, and the Administrative Agent, for the benefit of the Administrative Agent, the Lenders and the other Secured Parties, and any other pledge or security agreement entered into, after the date of this Agreement by any Loan Party (as required by this Agreement or any other Loan Document), as the same may be amended, restated, amended and restated, supplemented or otherwise modified from time to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Adjustment</w:t>
      </w:r>
      <w:r>
        <w:rPr>
          <w:rFonts w:ascii="Times New Roman" w:cs="Times New Roman" w:eastAsia="Times New Roman" w:hAnsi="Times New Roman"/>
          <w:sz w:val="18"/>
          <w:szCs w:val="18"/>
          <w:color w:val="auto"/>
        </w:rPr>
        <w:t>” means, (a) for any calculation with respect to ABR Loans, a percentage per annum equal to 0.10% and (b) for any calculation with respect to Term SOFR Loans, a percentage per annum equal to (i) 0.10% for Term SOFR Loans with an Interest period of one month, (ii) 0.15% for Term SOFR Loans with an Interest Period of three months and (iii) 0.25% for Term SOFR Loans with an Interest Period of six months.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Default</w:t>
      </w:r>
      <w:r>
        <w:rPr>
          <w:rFonts w:ascii="Times New Roman" w:cs="Times New Roman" w:eastAsia="Times New Roman" w:hAnsi="Times New Roman"/>
          <w:sz w:val="18"/>
          <w:szCs w:val="18"/>
          <w:color w:val="auto"/>
        </w:rPr>
        <w:t xml:space="preserve">” means an Event of Default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of Article VII.</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of a Person means any Indebtedness of such Person the payment of which is at all times subordinated to payment of the Obligations in accordance with the terms set forth on Schedule 1.01.</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by the parent, or (b) that is, as of such date, otherwise Controlled, by the parent or one or more subsidiaries of the parent or by the parent and one or more subsidiaries of the parent.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direct or indirect subsidiary of the Borrower or a Loan Party,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phantom stock or similar plan providing for payments only on account of services provided by current or former directors, officers, employees or consultants of the Borrower or the Subsidiaries shall be a Swap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 Obligations</w:t>
      </w:r>
      <w:r>
        <w:rPr>
          <w:rFonts w:ascii="Times New Roman" w:cs="Times New Roman" w:eastAsia="Times New Roman" w:hAnsi="Times New Roman"/>
          <w:sz w:val="18"/>
          <w:szCs w:val="18"/>
          <w:color w:val="auto"/>
        </w:rPr>
        <w:t>” means any and all obligations of the Loan Parties or any Subsidiary, whether absolute or contingent and howsoever and whensoever created, arising, evidenced or acquired (including all renewals, extensions and modifications thereof and substitutions therefor), under (a) any and all Swap Agreements permitted hereunder with a Person that, at the time of entering into such Swap Agreement, is the Administrative Agent, a Lender or an Affiliate of a Lender, and (b) any and all cancellations, buy backs, reversals, terminations or assignments of any such Swap Agreement transaction.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 or any rules or regulations promulgated thereunder.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Agents</w:t>
      </w:r>
      <w:r>
        <w:rPr>
          <w:rFonts w:ascii="Times New Roman" w:cs="Times New Roman" w:eastAsia="Times New Roman" w:hAnsi="Times New Roman"/>
          <w:sz w:val="18"/>
          <w:szCs w:val="18"/>
          <w:color w:val="auto"/>
        </w:rPr>
        <w:t>” mean JPMorgan Chase Bank, N.A. and Bank of America, N.A. in their capacities as syndication agents.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means,</w:t>
      </w:r>
    </w:p>
    <w:p>
      <w:pPr>
        <w:spacing w:after="0" w:line="225" w:lineRule="exact"/>
        <w:rPr>
          <w:sz w:val="20"/>
          <w:szCs w:val="20"/>
          <w:color w:val="auto"/>
        </w:rPr>
      </w:pPr>
    </w:p>
    <w:p>
      <w:pPr>
        <w:jc w:val="both"/>
        <w:ind w:firstLine="656"/>
        <w:spacing w:after="0" w:line="254" w:lineRule="auto"/>
        <w:tabs>
          <w:tab w:leader="none" w:pos="17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calculation with respect to a Term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17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an ABR Loan on any day, the Term SOFR Reference Rate for a tenor of one month on the day (such day, the “</w:t>
      </w:r>
      <w:r>
        <w:rPr>
          <w:rFonts w:ascii="Times New Roman" w:cs="Times New Roman" w:eastAsia="Times New Roman" w:hAnsi="Times New Roman"/>
          <w:sz w:val="18"/>
          <w:szCs w:val="18"/>
          <w:u w:val="single" w:color="auto"/>
          <w:color w:val="auto"/>
        </w:rPr>
        <w:t>ABR Term SOFR Determination Day</w:t>
      </w:r>
      <w:r>
        <w:rPr>
          <w:rFonts w:ascii="Times New Roman" w:cs="Times New Roman" w:eastAsia="Times New Roman" w:hAnsi="Times New Roman"/>
          <w:sz w:val="18"/>
          <w:szCs w:val="18"/>
          <w:color w:val="auto"/>
        </w:rPr>
        <w:t>”)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Borrowing</w:t>
      </w:r>
      <w:r>
        <w:rPr>
          <w:rFonts w:ascii="Times New Roman" w:cs="Times New Roman" w:eastAsia="Times New Roman" w:hAnsi="Times New Roman"/>
          <w:sz w:val="18"/>
          <w:szCs w:val="18"/>
          <w:color w:val="auto"/>
        </w:rPr>
        <w:t>” means, as to any Borrowing, the Term SOFR Loans compromising such Borrowing.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means a Loan that bears interest at a rate based on the Adjusted Term SOFR other than pursuant to clause (c) of the definition of “Alternate Base Rate”.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Funded Indebtedness</w:t>
      </w:r>
      <w:r>
        <w:rPr>
          <w:rFonts w:ascii="Times New Roman" w:cs="Times New Roman" w:eastAsia="Times New Roman" w:hAnsi="Times New Roman"/>
          <w:sz w:val="18"/>
          <w:szCs w:val="18"/>
          <w:color w:val="auto"/>
        </w:rPr>
        <w:t>” means, at any date, the aggregate principal amount of all Funded Indebtedness of the Borrower and its Subsidiaries at such date, determined on a consolidated basis in accordance with GAAP.</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Leverage Ratio</w:t>
      </w:r>
      <w:r>
        <w:rPr>
          <w:rFonts w:ascii="Times New Roman" w:cs="Times New Roman" w:eastAsia="Times New Roman" w:hAnsi="Times New Roman"/>
          <w:sz w:val="18"/>
          <w:szCs w:val="18"/>
          <w:color w:val="auto"/>
        </w:rPr>
        <w:t xml:space="preserve">” means, as of any date, the ratio of (a) (x) Total Funded Indebtedness on such date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(y) the aggregate amount of Unrestricted Cash and Cash Equivalents of the Borrower and its Subsidiaries on deposit in accounts in the United States, as of such date in an aggregate amount not to exceed $100 million to (b) EBITDA for the period of four consecutive fiscal quarters ended on such date (or, if such date is not the last day of a fiscal quarter, ended on the last day of the fiscal quarter most recently ended prior to such date).</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Borrower of this Agreement, the borrowing of Loans and other credit extensions, the Refinancing, the use of the proceeds thereof and the issuance of Letters of Credit hereunder.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Pricing Transactions</w:t>
      </w:r>
      <w:r>
        <w:rPr>
          <w:rFonts w:ascii="Times New Roman" w:cs="Times New Roman" w:eastAsia="Times New Roman" w:hAnsi="Times New Roman"/>
          <w:sz w:val="18"/>
          <w:szCs w:val="18"/>
          <w:color w:val="auto"/>
        </w:rPr>
        <w:t>” means transactions between the Borrower and/or the Loan Parties and their respective Subsidiaries and Affiliates, pursuant to which the parties to such transactions periodically invoice and remunerate each other for products and services provided to or exchanged among such parties, all upon such terms and prices (and subject to such mark-ups) as are consistent with the Borrower’s and its Subsidiaries’ and their respective Affiliates’ customary transfer pricing methods.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Adjusted Term SOFR or the Alternate Base Rate.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Bribery Act</w:t>
      </w:r>
      <w:r>
        <w:rPr>
          <w:rFonts w:ascii="Times New Roman" w:cs="Times New Roman" w:eastAsia="Times New Roman" w:hAnsi="Times New Roman"/>
          <w:sz w:val="18"/>
          <w:szCs w:val="18"/>
          <w:color w:val="auto"/>
        </w:rPr>
        <w:t>” means the UK Bribery Act of 2010.</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Unliquidated Obligations</w:t>
      </w:r>
      <w:r>
        <w:rPr>
          <w:rFonts w:ascii="Times New Roman" w:cs="Times New Roman" w:eastAsia="Times New Roman" w:hAnsi="Times New Roman"/>
          <w:sz w:val="18"/>
          <w:szCs w:val="18"/>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Cash and Cash Equivalents</w:t>
      </w:r>
      <w:r>
        <w:rPr>
          <w:rFonts w:ascii="Times New Roman" w:cs="Times New Roman" w:eastAsia="Times New Roman" w:hAnsi="Times New Roman"/>
          <w:sz w:val="18"/>
          <w:szCs w:val="18"/>
          <w:color w:val="auto"/>
        </w:rPr>
        <w:t xml:space="preserve">” means, at any date, the cash and Cash Equivalents of the Loan Parties that are (or would be) included on the balance sheet of the Borrower as of such day which are not identified on the balance sheet of the Loan Parties as “restricted” in accordance with GAAP and which are free and clear of all Liens (other than non-consensual liens and liens in favor of the Secured Parties pursuant to the Collateral Documents to secure the Secured Obligations, in each case,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2.17(f)(ii)</w:t>
      </w:r>
      <w:r>
        <w:rPr>
          <w:rFonts w:ascii="Times New Roman" w:cs="Times New Roman" w:eastAsia="Times New Roman" w:hAnsi="Times New Roman"/>
          <w:sz w:val="18"/>
          <w:szCs w:val="18"/>
          <w:color w:val="auto"/>
        </w:rPr>
        <w:t>(B)(3).</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2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1.02</w:t>
            </w:r>
          </w:p>
        </w:tc>
        <w:tc>
          <w:tcPr>
            <w:tcW w:w="8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Classification of Loans and Borrowings. For purposes of this Agreement, Loans may be classified and referred to by Type</w:t>
            </w:r>
          </w:p>
        </w:tc>
      </w:tr>
      <w:tr>
        <w:trPr>
          <w:trHeight w:val="237"/>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“Term SOFR Loan”).</w:t>
            </w:r>
          </w:p>
        </w:tc>
        <w:tc>
          <w:tcPr>
            <w:tcW w:w="12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5920" w:type="dxa"/>
            <w:vAlign w:val="bottom"/>
          </w:tcPr>
          <w:p>
            <w:pPr>
              <w:spacing w:after="0"/>
              <w:rPr>
                <w:sz w:val="20"/>
                <w:szCs w:val="20"/>
                <w:color w:val="auto"/>
              </w:rPr>
            </w:pPr>
          </w:p>
        </w:tc>
      </w:tr>
      <w:tr>
        <w:trPr>
          <w:trHeight w:val="391"/>
        </w:trPr>
        <w:tc>
          <w:tcPr>
            <w:tcW w:w="2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1.03</w:t>
            </w:r>
          </w:p>
        </w:tc>
        <w:tc>
          <w:tcPr>
            <w:tcW w:w="8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Terms Generally. The definitions of terms herein shall apply equally to the singular and plural forms of the terms defined.</w:t>
            </w:r>
          </w:p>
        </w:tc>
      </w:tr>
      <w:tr>
        <w:trPr>
          <w:trHeight w:val="20"/>
        </w:trPr>
        <w:tc>
          <w:tcPr>
            <w:tcW w:w="24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amended and restated, supplemented or otherwise modified (subject to any restrictions on such amendments, restatements, amendment and restatement,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after the Effective Date there occurs any change in GAAP or in the application thereof on the operation of any provision hereof and the Borrower notifies the Administrative Agent that the Borrower requests an amendment to any provision hereof to eliminate the effect of such change in GAAP or in the application thereof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Status of Obligations</w:t>
      </w:r>
      <w:r>
        <w:rPr>
          <w:rFonts w:ascii="Times New Roman" w:cs="Times New Roman" w:eastAsia="Times New Roman" w:hAnsi="Times New Roman"/>
          <w:sz w:val="18"/>
          <w:szCs w:val="18"/>
          <w:color w:val="auto"/>
        </w:rPr>
        <w:t>. In the event that the Borrower or any other Loan Party shall at any time issue or have outstanding any Subordinated Indebtedness, the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The Administrative Agent does not warrant or accept responsibility for, and shall not have any liability with respect to (a) the continuation of, administration of, submission of, calculation of or any other matter related to the Alternate Base Rate, Adjusted Term SOFR, Term SOFR or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Alternate Base Rate, Adjusted Term SOFR, Term SOFR or SOFR or any other Benchmark prior to its discontinuance or unavailability, or (b) the effect, implementation or composition of any Conforming Changes. The Administrative Agent and its affiliates or other related entities may engage in transactions that affect the calculation of Alternate Base Rate, Adjusted Term SOFR, Term SOFR or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Alternate Base Rate, Adjusted Term SOFR, Term SOFR,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w:t>
      </w:r>
    </w:p>
    <w:p>
      <w:pPr>
        <w:spacing w:after="0" w:line="1" w:lineRule="exact"/>
        <w:rPr>
          <w:sz w:val="20"/>
          <w:szCs w:val="20"/>
          <w:color w:val="auto"/>
        </w:rPr>
      </w:pPr>
    </w:p>
    <w:p>
      <w:pPr>
        <w:ind w:firstLine="8"/>
        <w:spacing w:after="0" w:line="260" w:lineRule="auto"/>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new Person comes into existence, such new Person shall be deemed to have been organized on the first date of its existence by the holders of its Equity Interests at such time.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225" w:lineRule="exact"/>
        <w:rPr>
          <w:sz w:val="20"/>
          <w:szCs w:val="20"/>
          <w:color w:val="auto"/>
        </w:rPr>
      </w:pPr>
    </w:p>
    <w:p>
      <w:pPr>
        <w:ind w:left="660"/>
        <w:spacing w:after="0"/>
        <w:tabs>
          <w:tab w:leader="none" w:pos="248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Subject to the terms and conditions set forth herein, (a) all Existing Loans made to the Borrower shall be</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deemed to have been made pursuant hereto and, upon the Amendment and Restatement Effective Date, shall continue as Loans made to the Borrower hereunder in accordance with </w:t>
      </w:r>
      <w:r>
        <w:rPr>
          <w:rFonts w:ascii="Times New Roman" w:cs="Times New Roman" w:eastAsia="Times New Roman" w:hAnsi="Times New Roman"/>
          <w:sz w:val="18"/>
          <w:szCs w:val="18"/>
          <w:u w:val="single" w:color="auto"/>
          <w:color w:val="auto"/>
        </w:rPr>
        <w:t>Section 2.02(e)</w:t>
      </w:r>
      <w:r>
        <w:rPr>
          <w:rFonts w:ascii="Times New Roman" w:cs="Times New Roman" w:eastAsia="Times New Roman" w:hAnsi="Times New Roman"/>
          <w:sz w:val="18"/>
          <w:szCs w:val="18"/>
          <w:color w:val="auto"/>
        </w:rPr>
        <w:t xml:space="preserve"> and (b) each Lender severally agrees to make Loans to the Borrower from time to time during the Availability Period in an aggregate principal amount that will not result in such Lender’s Credit Exposure exceeding such Lender’s Commitment. Within the foregoing limits and subject to the terms and conditions set forth herein, the Borrower may borrow, prepay and reborrow Loans.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Loans And Borrowings.</w:t>
      </w:r>
    </w:p>
    <w:p>
      <w:pPr>
        <w:spacing w:after="0" w:line="225" w:lineRule="exact"/>
        <w:rPr>
          <w:sz w:val="20"/>
          <w:szCs w:val="20"/>
          <w:color w:val="auto"/>
        </w:rPr>
      </w:pPr>
    </w:p>
    <w:p>
      <w:pPr>
        <w:jc w:val="both"/>
        <w:ind w:firstLine="1304"/>
        <w:spacing w:after="0" w:line="261" w:lineRule="auto"/>
        <w:tabs>
          <w:tab w:leader="none" w:pos="2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shall be made as part of a Borrowing consisting of Loans of the same Type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Commitments of the Lenders are several and no Lender shall be responsible for any other Lender’s failure to make Loans as required.</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each Borrowing shall be comprised entirely of ABR Loans or Term SOFR Loans, in each case, as the Borrower may request in accordance herewith. Each Lender at its option may make any Term SOFR Loan by causing any domestic or foreign branch or Affiliate of such Lender to make such Loan (and in the case of an Affiliate, the provisions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shall apply to such Affiliate to the same extent as to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exercise of such option shall not affect the obligation of the Borrower to repay such Loan in accordance with the terms of this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24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commencement of each Interest Period for any Term SOFR Borrowing, such Borrowing shall be in an aggregate amount that is an integral multiple of $500,000 and not less than $1 million. At the time that each ABR Borrowing is made, such Borrowing shall be in an aggregate amount that is an integral multiple of $100,000 and not less than $1 million;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Borrowing may be in an aggregate amount that is equal to the entire unused balance of the total Commitments or that is required to finance the reimbursement of an LC Disbursement as contemplated by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Borrowings of more than one Type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there shall not at any time be more than a total of eight (8) Term SOFR Borrowings outstanding.</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23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8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facilitating the continuation of Existing Loans hereunder, the parties hereto hereby agree that such Existing Loans shall be subject to a cashless settlement mechanism and other purchases and sales of interests in such Loans among the Lenders whereby the Borrower shall be deemed to have borrowed from all or certain of the Lenders and/or prepaid Loans of all or certain of the Lenders such that, after giving effect thereto, the Loans (including, without limitation, the Types and Interest Periods thereof) shall be held by the Lenders ratably in accordance with their respective Commitments.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 To request a Borrowing, the Borrower shall notify the Administrative Agent of such request either in writing (delivered by hand or fax) in a form approved by the Administrative Agent and signed by the Borrower or by telephone (such request a “</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(a) in the case of a Term SOFR Borrowing, not later than 11:00 a.m., New York City time, three Business Days before the date of the proposed Borrowing or (b) in the case of an ABR Borrowing, not later than 1:00 p.m., New York City time, on the date of the proposed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of an ABR Borrowing to finance the reimbursement of an LC Disbursement as contemplated by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may be given not later than 10:00 a.m., New York City time, on the date of the proposed Borrowing. Each such telephonic Borrowing Request shall be irrevocable and shall be confirmed promptly by hand delivery or fax to the Administrative Agent of a written Borrowing Request in a form approved by the Administrative Agent and signed by the Borrower. Each such telephonic and written Borrowing Request shall specify the following information in compliance with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ind w:left="3220" w:hanging="1268"/>
        <w:spacing w:after="0"/>
        <w:tabs>
          <w:tab w:leader="none" w:pos="3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requested Borrowing and a breakdown of the separate wires comprising such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2840" w:hanging="888"/>
        <w:spacing w:after="0"/>
        <w:tabs>
          <w:tab w:leader="none" w:pos="2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225"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an ABR Borrowing or a Term SOFR Borrowing; and</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8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 SOFR, the initial Interest Period to be applicable thereto, which shall be a period contemplated by the definition of the term “Interest Period.”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If no election as to the Type of Borrowing is specified, then the requested Borrowing shall be an ABR Borrowing. If no Interest Period is specified with respect to any requested Term SOFR Borrowing, then the Borrower shall be deemed to have selected an Interest Period of one month’s duration. Promptly following receipt of a Borrowing Request in accordance with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the Administrative Agent shall advise each Lender of the details thereof and of the amount of such Lender’s Loan to be made as part of the requested Borrowing.</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20"/>
        </w:trPr>
        <w:tc>
          <w:tcPr>
            <w:tcW w:w="18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20"/>
        </w:trPr>
        <w:tc>
          <w:tcPr>
            <w:tcW w:w="18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3"/>
              </w:rPr>
              <w:t>Letters of Credit.</w:t>
            </w:r>
          </w:p>
        </w:tc>
      </w:tr>
      <w:tr>
        <w:trPr>
          <w:trHeight w:val="20"/>
        </w:trPr>
        <w:tc>
          <w:tcPr>
            <w:tcW w:w="18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1304"/>
        <w:spacing w:after="0" w:line="251" w:lineRule="auto"/>
        <w:tabs>
          <w:tab w:leader="none" w:pos="24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terms and conditions set forth herein, the Borrower may request the issuance of (and the Issuing Bank shall issue) Letters of Credit, in an amount up to the applicable Issuing Bank’s LC Commitment, denominated in dollars as the applicant thereof for the support of its or its Subsidiaries’ obligations, in a form reasonably acceptable to the applicable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 The Borrower unconditionally and irrevocably agrees that, in connection with any Letter of Credit issued for the support of any Subsidiary’s obligations as provided in the first sentence of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the Borrower will be fully responsible for the reimbursement of LC Disbursements in accordance with the terms hereof, the payment of interest thereon and the payment of fees due under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to the same extent as if it were the sole account party in respect of such Letter of Credit (the Borrower hereby irrevocably waiving any defenses that might otherwise be available to it as a guarantor or surety of the obligations of such Subsidiary that is an account party in respect of any such Letter of Credit). Notwithstanding anything herein to the contrary, the Issuing Bank shall have no obligation hereunder to issue, and shall not issue, any Letter of Credit (i) the proceeds of which would be made available to any Person (A) to fund any activity or business of or with any Sanctioned Person, or in any country or territory that, at the time of such funding, is the subject of any Sanctions, in either such case, in violation of any such Sanctions or (B) in any manner that would result in a violation of any Sanctions by any party to this Agreement, (ii) if 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hereunder) not in effect on the Amendment and Restatement Effective Date, or shall impose upon the Issuing Bank any unreimbursed loss, cost or expense which was not applicable on the Amendment and Restatement Effective Date and which the Issuing Bank in good faith deems material to it, or (iii) if the issuance of such Letter of Credit would violate one or more policies of the Issuing Bank applicable to letters of credit generally;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Amendment and Restatement Effective Date for purposes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regardless of the date enacted, adopted, issued or implemented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1304"/>
        <w:spacing w:after="0" w:line="252" w:lineRule="auto"/>
        <w:tabs>
          <w:tab w:leader="none" w:pos="2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 Amendment, Renewal, Extension; Certain Conditions</w:t>
      </w:r>
      <w:r>
        <w:rPr>
          <w:rFonts w:ascii="Times New Roman" w:cs="Times New Roman" w:eastAsia="Times New Roman" w:hAnsi="Times New Roman"/>
          <w:sz w:val="18"/>
          <w:szCs w:val="18"/>
          <w:color w:val="auto"/>
        </w:rPr>
        <w:t xml:space="preserve">. To request the issuance of a Letter of Credit (or the amendment, renewal or extension of an outstanding Letter of Credit), the Borrower shall hand deliver or fax (or transmit by electronic communication, if arrangements for doing so have been approved by the applicable Issuing Bank) to the applicable Issuing Bank and the Administrative Agent (reasonably in advance of, but in any event no less than three (3) Business Days prior to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and whether such Letter of Credit shall contain automatic extension or renewal provisions, the amount of such Letter of Credit,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LC Exposure shall not exceed the LC Sublimit, (ii) the aggregate face amount of all Letters of Credit issued by the applicable Issuing Bank would exceed such Issuing Bank’s LC Commitment and (iii) the Aggregate Credit Exposure shall not exceed the aggregate Commitments of all Lenders. Subject to this Section 2.06, all Existing Letters of Credit shall continue to be issued pursuant hereto and shall continue to be subject to and governed by the terms of this Agreement, and the ratable share of each Lender’s participation in Existing Letters of Credit shall be calculated ratably in accordance with their Commitments.</w:t>
      </w:r>
    </w:p>
    <w:p>
      <w:pPr>
        <w:spacing w:after="0" w:line="194"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Each Letter of Credit shall expire (or be subject to termination or non-renewal by notice from the applicable Issuing Bank to the beneficiary thereof) at or prior to the close of business on the earlier of (i) the date one year after the date of the issuance of such Letter of Credit (or, in the case of any one-time renewal or extension thereof, including, without limitation, any automatic renewal provision, one year after such renewal or extension) and (ii) the date that is five (5) Business Days prior to the Maturity Date. Each Letter of Credit with automatic extension or renewal provisions shall, subject to the right of the respective Issuing Bank to terminate such automatic renewal in accordance with the terms of such Letter of Credit upon the occurrence of an Event of Default, be automatically renewed for a successive one-year period on each anniversary of the date of the issuance of such Letter of Credit, until cancelled by the Borrower by notice to the applicable Issuing Bank in accordance with the terms of such Letter of Credit agreed upon at the time such Letter of Credit is issued;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Letter of Credit shall expire at or prior to the close of business on the date that is five (5) Business Days prior to the Maturity Date if not earlier cancelled.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1304"/>
        <w:spacing w:after="0" w:line="253" w:lineRule="auto"/>
        <w:tabs>
          <w:tab w:leader="none" w:pos="2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such Issuing Bank, such Lender’s Applicable Percentage of each LC Disbursement made by such Issuing Bank and not reimbursed by the Borrower on the date due as provided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94" w:lineRule="exact"/>
        <w:rPr>
          <w:rFonts w:ascii="Times New Roman" w:cs="Times New Roman" w:eastAsia="Times New Roman" w:hAnsi="Times New Roman"/>
          <w:sz w:val="18"/>
          <w:szCs w:val="18"/>
          <w:color w:val="auto"/>
        </w:rPr>
      </w:pPr>
    </w:p>
    <w:p>
      <w:pPr>
        <w:jc w:val="both"/>
        <w:ind w:firstLine="1304"/>
        <w:spacing w:after="0" w:line="252" w:lineRule="auto"/>
        <w:tabs>
          <w:tab w:leader="none" w:pos="237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xml:space="preserve">. If an Issuing Bank shall make any LC Disbursement in respect of a Letter of Credit, the Borrower shall reimburse such LC Disbursement by paying to the Administrative Agent an amount equal to such LC Disbursement not later than 12:00 noon, New York City time, on the Business Day immediately following the day that the Borrower receives such notice, if such notice is not received prior to such time on the day of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LC Disbursement is not less than $500,000, the Borrower may, subject to the conditions to borrowing set forth herein, request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that such payment be financed with an ABR Borrowing in an equivalent amount and, to the extent so financed, the Borrower’s obligation to make such payment shall be discharged and replaced by the resulting ABR Borrowing.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any Issuing Bank for any LC Disbursement (other than the funding of ABR Loans as contemplated above) shall not constitute a Loan and shall not relieve the Borrower of its obligation to reimburse such LC Disbursement.</w:t>
      </w:r>
    </w:p>
    <w:p>
      <w:pPr>
        <w:spacing w:after="0" w:line="195" w:lineRule="exact"/>
        <w:rPr>
          <w:rFonts w:ascii="Times New Roman" w:cs="Times New Roman" w:eastAsia="Times New Roman" w:hAnsi="Times New Roman"/>
          <w:sz w:val="18"/>
          <w:szCs w:val="18"/>
          <w:color w:val="auto"/>
        </w:rPr>
      </w:pPr>
    </w:p>
    <w:p>
      <w:pPr>
        <w:jc w:val="both"/>
        <w:ind w:firstLine="1304"/>
        <w:spacing w:after="0" w:line="252" w:lineRule="auto"/>
        <w:tabs>
          <w:tab w:leader="none" w:pos="23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Borrower’s obligation to reimburse LC Disbursements as provided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w:t>
      </w:r>
      <w:r>
        <w:rPr>
          <w:rFonts w:ascii="Times New Roman" w:cs="Times New Roman" w:eastAsia="Times New Roman" w:hAnsi="Times New Roman"/>
          <w:sz w:val="18"/>
          <w:szCs w:val="18"/>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constitute a legal or equitable discharge of, or provide a right of setoff against, the Borrower’s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1304"/>
        <w:spacing w:after="0" w:line="258" w:lineRule="auto"/>
        <w:tabs>
          <w:tab w:leader="none" w:pos="22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by telephone (confirmed by fax)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failure to give or delay in giving such notice shall not relieve the Borrower of its obligation to reimburse such Issuing Bank and the Lenders with respect to any such LC Disbursement.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2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Loans and such interest shall be payable on the date when such reimbursement is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fails to reimburse such LC Disbursement when due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then </w:t>
      </w:r>
      <w:r>
        <w:rPr>
          <w:rFonts w:ascii="Times New Roman" w:cs="Times New Roman" w:eastAsia="Times New Roman" w:hAnsi="Times New Roman"/>
          <w:sz w:val="18"/>
          <w:szCs w:val="18"/>
          <w:u w:val="single" w:color="auto"/>
          <w:color w:val="auto"/>
        </w:rPr>
        <w:t>Section 2.13(c)</w:t>
      </w:r>
      <w:r>
        <w:rPr>
          <w:rFonts w:ascii="Times New Roman" w:cs="Times New Roman" w:eastAsia="Times New Roman" w:hAnsi="Times New Roman"/>
          <w:sz w:val="18"/>
          <w:szCs w:val="18"/>
          <w:color w:val="auto"/>
        </w:rPr>
        <w:t xml:space="preserve"> shall apply. Interest accrued pursuant to this paragraph shall be for the account of the applicable Issuing Bank, except that interest accrued on and after the date of payment by any Lender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to reimburse such Issuing Bank shall be for the account of such Lender to the extent of such payment.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an Issuing Bank</w:t>
      </w:r>
      <w:r>
        <w:rPr>
          <w:rFonts w:ascii="Times New Roman" w:cs="Times New Roman" w:eastAsia="Times New Roman" w:hAnsi="Times New Roman"/>
          <w:sz w:val="18"/>
          <w:szCs w:val="18"/>
          <w:color w:val="auto"/>
        </w:rPr>
        <w:t xml:space="preserve">. 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1304"/>
        <w:spacing w:after="0" w:line="253" w:lineRule="auto"/>
        <w:tabs>
          <w:tab w:leader="none" w:pos="251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If any Event of Default shall occur and be continuing, on the Business Day that the Borrower receives notice from the Administrative Agent or the Required Lenders (or, if the maturity of the Loans has been accelerated, Lenders with LC Exposure representing greater than 50% of the aggregate LC Exposure) demanding the deposit of cash collateral pursuant to this paragraph, the Borrower shall deposit in an account with the Administrative Agent, in the name of the Administrative Agent and for the benefit of the Revolving Lenders (the “</w:t>
      </w:r>
      <w:r>
        <w:rPr>
          <w:rFonts w:ascii="Times New Roman" w:cs="Times New Roman" w:eastAsia="Times New Roman" w:hAnsi="Times New Roman"/>
          <w:sz w:val="18"/>
          <w:szCs w:val="18"/>
          <w:u w:val="single" w:color="auto"/>
          <w:color w:val="auto"/>
        </w:rPr>
        <w:t>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 Account</w:t>
      </w:r>
      <w:r>
        <w:rPr>
          <w:rFonts w:ascii="Times New Roman" w:cs="Times New Roman" w:eastAsia="Times New Roman" w:hAnsi="Times New Roman"/>
          <w:sz w:val="18"/>
          <w:szCs w:val="18"/>
          <w:color w:val="auto"/>
        </w:rPr>
        <w:t xml:space="preserve">”), an amount in cash equal to 105% of the amount of the LC Exposure as of such date plus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or</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22" w:val="left"/>
        </w:tabs>
        <w:numPr>
          <w:ilvl w:val="0"/>
          <w:numId w:val="3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Such deposit shall be held by the Administrative Agent as collateral for the payment and performance of the Secured Obligations. The Administrative Agent shall have exclusive dominion and control, including the exclusive right of withdrawal, over the LC Collateral Account and the Borrower hereby grants the Administrative Agent a security interest in the LC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the Issuing Banks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Lenders with LC Exposure representing greater than 50% of the aggregate LC Exposure), be applied to satisfy other Secured Obligations. If the Borrower is required to provide an amount of cash collateral hereunder as a result of the occurrence of an Event of Default, such amount (to the extent not applied as aforesaid) shall be returned to the Borrower within three Business Days after all such Defaults have been cured or waived.</w:t>
      </w:r>
    </w:p>
    <w:p>
      <w:pPr>
        <w:spacing w:after="0" w:line="192" w:lineRule="exact"/>
        <w:rPr>
          <w:rFonts w:ascii="Times New Roman" w:cs="Times New Roman" w:eastAsia="Times New Roman" w:hAnsi="Times New Roman"/>
          <w:sz w:val="18"/>
          <w:szCs w:val="18"/>
          <w:u w:val="single" w:color="auto"/>
          <w:color w:val="auto"/>
        </w:rPr>
      </w:pPr>
    </w:p>
    <w:p>
      <w:pPr>
        <w:jc w:val="both"/>
        <w:ind w:firstLine="1304"/>
        <w:spacing w:after="0" w:line="270" w:lineRule="auto"/>
        <w:tabs>
          <w:tab w:leader="none" w:pos="2239"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Issuing Bank Reports to the Administrative Agent</w:t>
      </w:r>
      <w:r>
        <w:rPr>
          <w:rFonts w:ascii="Times New Roman" w:cs="Times New Roman" w:eastAsia="Times New Roman" w:hAnsi="Times New Roman"/>
          <w:sz w:val="17"/>
          <w:szCs w:val="17"/>
          <w:color w:val="auto"/>
        </w:rPr>
        <w:t xml:space="preserve">. Unless otherwise agreed by the Administrative Agent, each Issuing Bank shall, in addition to its notification obligations set forth elsewhere in this </w:t>
      </w:r>
      <w:r>
        <w:rPr>
          <w:rFonts w:ascii="Times New Roman" w:cs="Times New Roman" w:eastAsia="Times New Roman" w:hAnsi="Times New Roman"/>
          <w:sz w:val="17"/>
          <w:szCs w:val="17"/>
          <w:u w:val="single" w:color="auto"/>
          <w:color w:val="auto"/>
        </w:rPr>
        <w:t>Section 2.06</w:t>
      </w:r>
      <w:r>
        <w:rPr>
          <w:rFonts w:ascii="Times New Roman" w:cs="Times New Roman" w:eastAsia="Times New Roman" w:hAnsi="Times New Roman"/>
          <w:sz w:val="17"/>
          <w:szCs w:val="17"/>
          <w:color w:val="auto"/>
        </w:rPr>
        <w:t>,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176" w:lineRule="exact"/>
        <w:rPr>
          <w:rFonts w:ascii="Times New Roman" w:cs="Times New Roman" w:eastAsia="Times New Roman" w:hAnsi="Times New Roman"/>
          <w:sz w:val="17"/>
          <w:szCs w:val="17"/>
          <w:color w:val="auto"/>
        </w:rPr>
      </w:pPr>
    </w:p>
    <w:p>
      <w:pPr>
        <w:jc w:val="both"/>
        <w:ind w:firstLine="1304"/>
        <w:spacing w:after="0" w:line="261" w:lineRule="auto"/>
        <w:tabs>
          <w:tab w:leader="none" w:pos="235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LC Exposure Determination</w:t>
      </w:r>
      <w:r>
        <w:rPr>
          <w:rFonts w:ascii="Times New Roman" w:cs="Times New Roman" w:eastAsia="Times New Roman" w:hAnsi="Times New Roman"/>
          <w:sz w:val="18"/>
          <w:szCs w:val="18"/>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7"/>
          <w:szCs w:val="17"/>
          <w:u w:val="single" w:color="auto"/>
          <w:color w:val="auto"/>
        </w:rPr>
        <w:t>Funding of Borrowings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22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make each Loan to be made by it hereunder on the proposed date thereof by wire transfer of immediately available funds by 2:00 p.m., New York City time, to the account of the Administrative Agent most recently designated by it for such purpose by notice to the Lenders in an amount equal to such Lender’s Applicable Percentage. The Administrative Agent will make such Loans available to the Borrower by promptly crediting the amounts so received, in like funds, to an account of the Borrower maintained with the Administrative Agent and designated by the Borrower in the applicable Borrowing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ABR Loans made to finance the reimbursement of an LC Disbursement as provided in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shall be remitted by the Administrative Agent to the Issuing Banks.</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227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spacing w:after="0" w:line="194" w:lineRule="exact"/>
        <w:rPr>
          <w:sz w:val="20"/>
          <w:szCs w:val="20"/>
          <w:color w:val="auto"/>
        </w:rPr>
      </w:pPr>
    </w:p>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7"/>
          <w:szCs w:val="17"/>
          <w:u w:val="single" w:color="auto"/>
          <w:color w:val="auto"/>
        </w:rPr>
        <w:t>Interest Elections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243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Borrowing initially shall be of the Type specified in the applicable Borrowing Request and, in the case of a Term SOFR Borrowing, shall have an initial Interest Period as specified in such Borrowing Request. Thereafter, the Borrower may elect to convert such Borrowing to a different Type or to continue such Borrowing and, in the case of a Term SOFR Borrowing, may elect Interest Periods therefor, all as provided in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234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 election pursuant to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the Borrower shall notify the Administrative Agent of such election by telephone by the time that a Borrowing Request would be required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if the Borrower were requesting a Borrowing of the Type resulting from such election to be made on the effective date of such election. Each such telephonic Interest Election Request shall be irrevocable and shall be confirmed promptly by hand delivery or fax to the Administrative Agent of a written Interest Election Request in a form approved by the Administrative Agent and signed by the Borrower.</w:t>
      </w:r>
    </w:p>
    <w:p>
      <w:pPr>
        <w:spacing w:after="0" w:line="183" w:lineRule="exact"/>
        <w:rPr>
          <w:rFonts w:ascii="Times New Roman" w:cs="Times New Roman" w:eastAsia="Times New Roman" w:hAnsi="Times New Roman"/>
          <w:sz w:val="18"/>
          <w:szCs w:val="18"/>
          <w:color w:val="auto"/>
        </w:rPr>
      </w:pPr>
    </w:p>
    <w:p>
      <w:pPr>
        <w:ind w:left="2680" w:hanging="1376"/>
        <w:spacing w:after="0"/>
        <w:tabs>
          <w:tab w:leader="none" w:pos="2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telephonic and written Interest Election Request shall specify the following information in compliance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left="660" w:firstLine="1292"/>
        <w:spacing w:after="0" w:line="266" w:lineRule="auto"/>
        <w:tabs>
          <w:tab w:leader="none" w:pos="313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18"/>
          <w:szCs w:val="18"/>
          <w:u w:val="single" w:color="auto"/>
          <w:color w:val="auto"/>
        </w:rPr>
        <w:t>clauses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below shall be specified for each resulting Borrowing);</w:t>
      </w:r>
    </w:p>
    <w:p>
      <w:pPr>
        <w:spacing w:after="0" w:line="175" w:lineRule="exact"/>
        <w:rPr>
          <w:rFonts w:ascii="Times New Roman" w:cs="Times New Roman" w:eastAsia="Times New Roman" w:hAnsi="Times New Roman"/>
          <w:sz w:val="18"/>
          <w:szCs w:val="18"/>
          <w:color w:val="auto"/>
        </w:rPr>
      </w:pPr>
    </w:p>
    <w:p>
      <w:pPr>
        <w:ind w:left="2840" w:hanging="888"/>
        <w:spacing w:after="0"/>
        <w:tabs>
          <w:tab w:leader="none" w:pos="2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225"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an ABR Borrowing or a Term SOFR Borrowing; and</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84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a Term SOFR Borrowing, the Interest Period to be applicable thereto after giving effect to such election, which shall be a period contemplated by the definition of the term “Interest Period”.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Term SOFR Borrowing but does not specify an Interest Period, then the Borrower shall be deemed to have selected an Interest Period of one month’s duration.</w:t>
      </w:r>
    </w:p>
    <w:p>
      <w:pPr>
        <w:spacing w:after="0" w:line="162" w:lineRule="exact"/>
        <w:rPr>
          <w:sz w:val="20"/>
          <w:szCs w:val="20"/>
          <w:color w:val="auto"/>
        </w:rPr>
      </w:pPr>
    </w:p>
    <w:p>
      <w:pPr>
        <w:ind w:firstLine="1304"/>
        <w:spacing w:after="0" w:line="282" w:lineRule="auto"/>
        <w:tabs>
          <w:tab w:leader="none" w:pos="22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the Administrative Agent shall advise each Lender of the details thereof and of such Lender’s portion of each resulting Borrowing.</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22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deliver a timely Interest Election Request with respect to a Term SOFR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SOFR Borrowing and (ii) unless repaid, each Term SOFR Borrowing shall be converted to an ABR Borrowing at the end of the Interest Period applicable thereto.</w:t>
      </w:r>
    </w:p>
    <w:p>
      <w:pPr>
        <w:spacing w:after="0" w:line="187" w:lineRule="exact"/>
        <w:rPr>
          <w:sz w:val="20"/>
          <w:szCs w:val="20"/>
          <w:color w:val="auto"/>
        </w:rPr>
      </w:pPr>
    </w:p>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7"/>
          <w:szCs w:val="17"/>
          <w:u w:val="single" w:color="auto"/>
          <w:color w:val="auto"/>
        </w:rPr>
        <w:t>Termination and Reduction of 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220" w:hanging="916"/>
        <w:spacing w:after="0"/>
        <w:tabs>
          <w:tab w:leader="none" w:pos="22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all Commitments shall terminate on the Maturity Date.</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30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at any time, without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premium or penalty, terminate the Commitments upon (i) the payment in full of all outstanding Loans, together with accrued and unpaid interest thereon and on any Letters of Credit, (ii) the cancellation and return of all outstanding Letters of Credit (or alternatively, with respect to each such Letter of Credit, the furnishing to the Administrative Agent of a cash deposit (or at the discretion of the Administrative Agent a backup standby letter of credit satisfactory to the Administrative Agent and the applicable Issuing Bank) in an amount equal to 105% of the LC Exposure as of such date), (iii) the payment in full of the accrued and unpaid fees, and (iv) the payment in full of all reimbursable expenses and other Obligations together with accrued and unpaid interest thereon.</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244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from time to time, without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premium or penalty, reduce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Commitments shall be in an amount that is an integral multiple of $1 million and not less than $5 million, and (ii) the Borrower shall not reduce the Commitments if, after giving effect to any concurrent prepayment of the Loans in accordance with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the Aggregate Credit Exposure would exceed the aggregate Commitments of all Lenders.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1304"/>
        <w:spacing w:after="0" w:line="254" w:lineRule="auto"/>
        <w:tabs>
          <w:tab w:leader="none" w:pos="259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Administrative Agent of any election to terminate or reduce the Commitments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notice of termination of the Commitments delivered by the Borrower may state that such notice is conditioned upon the effectiveness of other credit facilities or events,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92" w:lineRule="exact"/>
        <w:rPr>
          <w:sz w:val="20"/>
          <w:szCs w:val="20"/>
          <w:color w:val="auto"/>
        </w:rPr>
      </w:pPr>
    </w:p>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u w:val="single" w:color="auto"/>
          <w:color w:val="auto"/>
        </w:rPr>
        <w:t>Repayment of Loans; Evidence of Debt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22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unconditionally promises to pay to the Administrative Agent for the account of each Lender the then unpaid principal amount of each Loan on the Maturity Date.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9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6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9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event of a conflict between the entries made in the accounts maintained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and the Register, the Register shall govern.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40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that Loans made by it be evidenced by a promissory note (each a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In such event, the Borrower shall prepare, execute and deliver to such Lender a Note payable to such Lender and its registered assigns and in a form approved by the Administrative Agent. Thereafter, the Loans evidenced by such Note and interest thereon shall at all times (including after assignment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be represented by one or more Notes in such form payable to such payee and its registered assigns.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left="660"/>
        <w:spacing w:after="0"/>
        <w:tabs>
          <w:tab w:leader="none" w:pos="242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7"/>
          <w:szCs w:val="17"/>
          <w:u w:val="single" w:color="auto"/>
          <w:color w:val="auto"/>
        </w:rPr>
        <w:t>Prepayment of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82" w:lineRule="auto"/>
        <w:tabs>
          <w:tab w:leader="none" w:pos="202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the right at any time and from time to time, without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premium or penalty, to prepay any Borrowing in whole or in part, subject to prior notice in accordance with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202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and on such occasion that the Aggregate Credit Exposure exceeds the aggregate Commitments of all Lenders, the Borrower shall prepay the Loans and/or cash collateralize the LC Exposure in an aggregate amount equal to such excess.</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6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Administrative Agent by telephone (confirmed by fax) of any prepayment hereunder (i) in the case of prepayment of a Term SOFR Borrowing, not later than 11:00 a.m., New York City time, three Business Days before the date of prepayment, or (ii) in the case of prepayment of an ABR Borrowing, not later than 11:00 a.m., New York City time, one Business Day before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notice of prepayment is given in connection with a conditional notice of termination of the Commitments as contemplated by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then such notice of prepayment may be revoked if such notice of termination is revoked in accordance with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Each prepayment of a Borrowing shall be applied ratably to the Loans included in the prepaid Borrowing. Prepayments shall be accompanied by accrued interest to the extent required by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7"/>
          <w:szCs w:val="17"/>
          <w:u w:val="single" w:color="auto"/>
          <w:color w:val="auto"/>
        </w:rPr>
        <w:t>Fees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99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agrees to pay to the Administrative Agent for the account of each Lender (other than a Defaulting Lender, subject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a commitment fee, which shall accrue at the Commitment Fee Rate set forth in the definition of Applicable Rate on the average daily amount of the Available Commitment of such Lender during the period from and including the Amendment and Restatement Effective Date to but excluding the date on which the Commitments terminate. Accrued commitment fees shall be payable in arrears on the first Business Day of each January, April, July and October and on the date on which the Commitments terminate, commencing on the first such date to occur after the date hereof. All commitment fees shall be computed on the basis of a year of 360 days and shall be payable for the actual number of days elapsed.</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7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agrees to pay (i) to the Administrative Agent for the account of each Lender (other than a Defaulting Lender, subject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 participation fee with respect to its participations in Letters of Credit, which shall accrue at the same Applicable Rate used to determine the interest rate applicable to Term SOFR Loans on the average daily amount of such Lender’s LC Exposure (excluding any portion thereof attributable to unreimbursed LC Disbursements) during the period from and including the Amendment and Restatement Effective Date to but excluding the later of the date on which such Lender’s Commitment terminates and the date on which such Lender ceases to have any LC Exposure, and (ii) to the applicable Issuing Bank a fronting fee, which shall accrue at the rate of 0.125% per annum on the average daily amount of the LC Exposure (excluding any portion thereof attributable to unreimbursed LC Disbursements) during the period from and including the Amendment and Restatement Effective Date to but excluding the later of the date of termination of the Commitments and the date on which there ceases to be any LC Exposure, as well as the applicable Issuing Bank’s standard fees with respect to the issuance, amendment, renewal or extension of any Letter of Credit or processing of drawings thereunder. Participation fees and fronting fees accrued through and including the last day of each calendar quarter shall be payable on the first Business Day of each of each January, April, July and October following such last day, commencing on the first such date to occur after the Amendment and Restatement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10 days after demand. All participation fees and fronting fees shall be computed on the basis of a year of 360 days and shall be payable for the actual number of days elapsed.</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firstLine="1304"/>
        <w:spacing w:after="0" w:line="282" w:lineRule="auto"/>
        <w:tabs>
          <w:tab w:leader="none" w:pos="202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for its own account, and to any Lender, fees payable in the amounts and at the times separately agreed upon between the Borrower and the Administrative Agent or such Lender.</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8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immediately available funds, to the Administrative Agent (or to an Issuing Bank, in the case of fees payable to it) for distribution, in the case of commitment fees and participation fees, to the Lenders. Fees paid shall not be refundable under any circumstances.</w:t>
      </w:r>
    </w:p>
    <w:p>
      <w:pPr>
        <w:spacing w:after="0" w:line="176" w:lineRule="exact"/>
        <w:rPr>
          <w:sz w:val="20"/>
          <w:szCs w:val="20"/>
          <w:color w:val="auto"/>
        </w:rPr>
      </w:pPr>
    </w:p>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2.13</w:t>
      </w:r>
      <w:r>
        <w:rPr>
          <w:sz w:val="20"/>
          <w:szCs w:val="20"/>
          <w:color w:val="auto"/>
        </w:rPr>
        <w:tab/>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60" w:hanging="656"/>
        <w:spacing w:after="0"/>
        <w:tabs>
          <w:tab w:leader="none" w:pos="1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ABR Borrowing shall bear interest at the Alternate Base Rate plus the Applicable Rate.</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200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Term SOFR Borrowing shall bear interest at Adjusted Term SOFR for the Interest Period in effect for such Borrowing plus the Applicable Rate.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9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(ii) in the case of any other amount, 2% plus the rate applicable to ABR Loans as provided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2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(for ABR Loans, accrued through the last day of the prior calendar quarter) shall be payable in arrears on each Interest Payment Date for such Loan and upon termination of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Term SOFR Loan prior to the end of the current Interest Period therefor, accrued interest on such Loan shall be payable on the effective date of such conversion.</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Alternate Base Rate or Adjusted Term SOFR shall be determined by the Administrative Agent, and such determination shall be conclusive absent manifest error.</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Adjusted Term SOFR Conforming Changes</w:t>
      </w:r>
      <w:r>
        <w:rPr>
          <w:rFonts w:ascii="Times New Roman" w:cs="Times New Roman" w:eastAsia="Times New Roman" w:hAnsi="Times New Roman"/>
          <w:sz w:val="18"/>
          <w:szCs w:val="18"/>
          <w:color w:val="auto"/>
        </w:rPr>
        <w:t>. In connection with the use or administration of Adjusted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Adjusted Term SOFR.</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7"/>
          <w:szCs w:val="17"/>
          <w:u w:val="single" w:color="auto"/>
          <w:color w:val="auto"/>
        </w:rPr>
        <w:t>Alternate Rate of Interest</w:t>
      </w:r>
      <w:r>
        <w:rPr>
          <w:rFonts w:ascii="Times New Roman" w:cs="Times New Roman" w:eastAsia="Times New Roman" w:hAnsi="Times New Roman"/>
          <w:sz w:val="17"/>
          <w:szCs w:val="17"/>
          <w:color w:val="auto"/>
        </w:rPr>
        <w:t>. Subject to</w:t>
      </w:r>
      <w:r>
        <w:rPr>
          <w:rFonts w:ascii="Times New Roman" w:cs="Times New Roman" w:eastAsia="Times New Roman" w:hAnsi="Times New Roman"/>
          <w:sz w:val="17"/>
          <w:szCs w:val="17"/>
          <w:u w:val="single" w:color="auto"/>
          <w:color w:val="auto"/>
        </w:rPr>
        <w:t xml:space="preserve"> Section 2.26</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222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that adequate and reasonable means do not exist for ascertaining Adjusted Term SOFR, Term SOFR or SOFR, as applicable, for any Interest Period, if applicable, or with respect to any Term SOFR Loans; or</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205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Adjusted Term SOFR, Term SOFR or SOFR, as applicable, for such Interest Period, if applicable, or with respect to any Term SOFR Loan will not adequately and fairly reflect the cost to such Lenders (or Lender) of making or maintaining their Loans (or its Loan) included in such Borrowing (including, in respect of Term SOFR Loans, for such Interest Period);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then the Administrative Agent shall give notice thereof to the Borrower and the Lenders by electronic communication as provided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Term SOFR Loan shall be ineffective and any such Term SOFR Borrowing shall be repaid or converted on the last day of the then current Interest Period applicable thereto and (ii) if any Borrowing Request requests a Term SOFR Borrowing, such Borrowing shall be made as an ABR Borrowing.</w:t>
      </w:r>
    </w:p>
    <w:p>
      <w:pPr>
        <w:spacing w:after="0" w:line="183" w:lineRule="exact"/>
        <w:rPr>
          <w:sz w:val="20"/>
          <w:szCs w:val="20"/>
          <w:color w:val="auto"/>
        </w:rPr>
      </w:pPr>
    </w:p>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7"/>
          <w:szCs w:val="17"/>
          <w:u w:val="single" w:color="auto"/>
          <w:color w:val="auto"/>
        </w:rPr>
        <w:t>Increased Costs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00" w:hanging="696"/>
        <w:spacing w:after="0"/>
        <w:tabs>
          <w:tab w:leader="none" w:pos="2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306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or any Issuing Bank;</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9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 on any Lender or any Issuing Bank or the applicable interbank market any other condition, cost or expense affecting this Agreement or Term SOFR Loans made by such Lender or any Letter of Credit or participation therein (except for Taxes which are covered by </w:t>
      </w:r>
      <w:r>
        <w:rPr>
          <w:rFonts w:ascii="Times New Roman" w:cs="Times New Roman" w:eastAsia="Times New Roman" w:hAnsi="Times New Roman"/>
          <w:sz w:val="18"/>
          <w:szCs w:val="18"/>
          <w:u w:val="single" w:color="auto"/>
          <w:color w:val="auto"/>
        </w:rPr>
        <w:t>Sections 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10.09</w:t>
      </w:r>
      <w:r>
        <w:rPr>
          <w:rFonts w:ascii="Times New Roman" w:cs="Times New Roman" w:eastAsia="Times New Roman" w:hAnsi="Times New Roman"/>
          <w:sz w:val="18"/>
          <w:szCs w:val="18"/>
          <w:color w:val="auto"/>
        </w:rPr>
        <w:t xml:space="preserve"> and changes in the rate of tax on the overall net income of such Lender); or</w:t>
      </w:r>
    </w:p>
    <w:p>
      <w:pPr>
        <w:spacing w:after="0" w:line="17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94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and (B) Excluded Taxes) on its loans, loan principal, letters of credit, commitments, or other obligations, or its deposits, reserves, other liabilities or capital attributable thereto;</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or maintaining any Term SOFR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the Borrower will pay to such Lender or such Issuing Bank, as the case may be, such additional amount or amounts as will compensate such Lender or such Issuing Bank, as the case may be, for such additional costs incurred or reduction suffered.</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1304"/>
        <w:spacing w:after="0" w:line="254" w:lineRule="auto"/>
        <w:tabs>
          <w:tab w:leader="none" w:pos="199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then from time to time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3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a Lender or the applicable Issuing Bank setting forth the amount or amounts necessary to compensate such Lender or such Issuing Bank or its holding company, as the case may be, as specified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be delivered to the Borrower and shall be conclusive absent manifest error. The Borrower shall pay such Lender or such Issuing Bank, as the case may be, the amount shown as due on any such certificate within 10 days after receipt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2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any Issuing Bank to demand compensation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not constitute a waiver of such Lender’s or such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an Issuing Bank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for any increased costs or reductions incurred more than 180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xml:space="preserve">. In the event of (a) the payment of any principal of any Term SOFR Loan other than on the last day of an Interest Period applicable thereto (including as a result of an Event of Default), (b) the conversion of any Term SOFR Loan other than on the last day of an Interest Period applicable thereto, (c) the failure to borrow, convert, continue or prepay any Term SOFR Loan on the date specified in any notice delivered pursuant hereto (regardless of whether such notice may be revoked under </w:t>
      </w:r>
      <w:r>
        <w:rPr>
          <w:rFonts w:ascii="Times New Roman" w:cs="Times New Roman" w:eastAsia="Times New Roman" w:hAnsi="Times New Roman"/>
          <w:sz w:val="18"/>
          <w:szCs w:val="18"/>
          <w:u w:val="single" w:color="auto"/>
          <w:color w:val="auto"/>
        </w:rPr>
        <w:t>Section 2.09(d)</w:t>
      </w:r>
      <w:r>
        <w:rPr>
          <w:rFonts w:ascii="Times New Roman" w:cs="Times New Roman" w:eastAsia="Times New Roman" w:hAnsi="Times New Roman"/>
          <w:sz w:val="18"/>
          <w:szCs w:val="18"/>
          <w:color w:val="auto"/>
        </w:rPr>
        <w:t xml:space="preserve"> and is revoked in accordance therewith), or (d) the assignment of any Term SOFR Loan other than on the last day of an Interest Period applicable thereto as a result of a request by the Borrower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then, in any such event, the Borrower shall compensate each Lender for the loss, cost and expense attributable to such event (which shall not include any loss of margin or Applicable Rate). In the case of a Term SOFR Loan, such loss, cost or expense to any Lender shall be deemed to include an amount determined by such Lender to be the excess, if any, of (i) the amount of interest which would have accrued on the principal amount of such Loan had such event not occurred, at Adjusted Term SOFR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(as reasonably determined by such Lender) which would accrue on such principal amount for such period at the interest rate which such Lender would bid were it to bid, at the commencement of such period, for dollar deposits of a comparable amount and period from other banks in the applicable market arising from the liquidation or redeployment of funds or from any fees payable. A certificate of any Lender setting forth, in reasonable detail, any amount or amounts that such Lender is entitled to receive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be delivered to the Borrower and shall be conclusive absent manifest error. The Borrower shall pay such Lender the amount shown as due on any such certificate within 10 days after receipt thereof.</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2.17</w:t>
      </w:r>
      <w:r>
        <w:rPr>
          <w:sz w:val="20"/>
          <w:szCs w:val="20"/>
          <w:color w:val="auto"/>
        </w:rPr>
        <w:tab/>
      </w:r>
      <w:r>
        <w:rPr>
          <w:rFonts w:ascii="Times New Roman" w:cs="Times New Roman" w:eastAsia="Times New Roman" w:hAnsi="Times New Roman"/>
          <w:sz w:val="17"/>
          <w:szCs w:val="17"/>
          <w:u w:val="single" w:color="auto"/>
          <w:color w:val="auto"/>
        </w:rPr>
        <w:t>Withholding of Taxes; Gross-Up</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9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such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applicable Recipient receives an amount equal to the sum it would have received had no such deduction or withholding been made.</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208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Loan Parties</w:t>
      </w:r>
      <w:r>
        <w:rPr>
          <w:rFonts w:ascii="Times New Roman" w:cs="Times New Roman" w:eastAsia="Times New Roman" w:hAnsi="Times New Roman"/>
          <w:sz w:val="18"/>
          <w:szCs w:val="18"/>
          <w:color w:val="auto"/>
        </w:rPr>
        <w:t>. The Loan Parties shall timely pay to the relevant Governmental Authority in accordance with applicable law, or at the option of the Administrative Agent timely reimburse it for, Other Taxes.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2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w:t>
      </w:r>
      <w:r>
        <w:rPr>
          <w:rFonts w:ascii="Times New Roman" w:cs="Times New Roman" w:eastAsia="Times New Roman" w:hAnsi="Times New Roman"/>
          <w:sz w:val="18"/>
          <w:szCs w:val="18"/>
          <w:color w:val="auto"/>
        </w:rPr>
        <w:t xml:space="preserve">. As soon as practicable after any payment of Taxes by any Loan Party to a Governmental Authority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5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Loan Parties</w:t>
      </w:r>
      <w:r>
        <w:rPr>
          <w:rFonts w:ascii="Times New Roman" w:cs="Times New Roman" w:eastAsia="Times New Roman" w:hAnsi="Times New Roman"/>
          <w:sz w:val="18"/>
          <w:szCs w:val="18"/>
          <w:color w:val="auto"/>
        </w:rPr>
        <w:t xml:space="preserve">. The Loan Parties shall indemnify each Recipient,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xml:space="preserve">. Each Lender shall severally indemnify the Administrative Agent, within ten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left="860" w:hanging="676"/>
        <w:spacing w:after="0"/>
        <w:tabs>
          <w:tab w:leader="none" w:pos="8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86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prescribed by applicable law and at the time or times reasonably requested by the Borrower or the Administrative Agent, such properly completed and executed documentation prescribed by applicable law or as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2.17(f)(ii)(A)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such case the Lender shall indemnify the Borrower and the Administrative Agent from any and all liabilities arising therefrom.</w:t>
      </w:r>
    </w:p>
    <w:p>
      <w:pPr>
        <w:spacing w:after="0" w:line="189" w:lineRule="exact"/>
        <w:rPr>
          <w:rFonts w:ascii="Times New Roman" w:cs="Times New Roman" w:eastAsia="Times New Roman" w:hAnsi="Times New Roman"/>
          <w:sz w:val="18"/>
          <w:szCs w:val="18"/>
          <w:color w:val="auto"/>
        </w:rPr>
      </w:pPr>
    </w:p>
    <w:p>
      <w:pPr>
        <w:ind w:left="1720" w:hanging="888"/>
        <w:spacing w:after="0"/>
        <w:tabs>
          <w:tab w:leader="none" w:pos="17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the Borrower is a U.S. Person,</w:t>
      </w:r>
    </w:p>
    <w:p>
      <w:pPr>
        <w:spacing w:after="0" w:line="225" w:lineRule="exact"/>
        <w:rPr>
          <w:sz w:val="20"/>
          <w:szCs w:val="20"/>
          <w:color w:val="auto"/>
        </w:rPr>
      </w:pPr>
    </w:p>
    <w:p>
      <w:pPr>
        <w:jc w:val="both"/>
        <w:ind w:left="180" w:firstLine="652"/>
        <w:spacing w:after="0" w:line="261" w:lineRule="auto"/>
        <w:tabs>
          <w:tab w:leader="none" w:pos="177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73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6" w:lineRule="auto"/>
        <w:tabs>
          <w:tab w:leader="none" w:pos="245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originals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2" w:name="page73"/>
    <w:bookmarkEnd w:id="72"/>
    <w:p>
      <w:pPr>
        <w:ind w:left="1960" w:firstLine="640"/>
        <w:spacing w:after="0" w:line="282" w:lineRule="auto"/>
        <w:tabs>
          <w:tab w:leader="none" w:pos="390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that its extension of credit will generate U.S. effectively connected income, executed originals of IRS Form W-8ECI;</w:t>
      </w:r>
    </w:p>
    <w:p>
      <w:pPr>
        <w:spacing w:after="0" w:line="161" w:lineRule="exact"/>
        <w:rPr>
          <w:rFonts w:ascii="Times New Roman" w:cs="Times New Roman" w:eastAsia="Times New Roman" w:hAnsi="Times New Roman"/>
          <w:sz w:val="18"/>
          <w:szCs w:val="18"/>
          <w:color w:val="auto"/>
        </w:rPr>
      </w:pPr>
    </w:p>
    <w:p>
      <w:pPr>
        <w:jc w:val="both"/>
        <w:ind w:left="1960" w:firstLine="640"/>
        <w:spacing w:after="0" w:line="258" w:lineRule="auto"/>
        <w:tabs>
          <w:tab w:leader="none" w:pos="357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 Compliance Certificate</w:t>
      </w:r>
      <w:r>
        <w:rPr>
          <w:rFonts w:ascii="Times New Roman" w:cs="Times New Roman" w:eastAsia="Times New Roman" w:hAnsi="Times New Roman"/>
          <w:sz w:val="18"/>
          <w:szCs w:val="18"/>
          <w:color w:val="auto"/>
        </w:rPr>
        <w:t>”) and (y) executed originals of IRS Form W-8BEN or W-8BEN-E; or</w:t>
      </w:r>
    </w:p>
    <w:p>
      <w:pPr>
        <w:spacing w:after="0" w:line="183" w:lineRule="exact"/>
        <w:rPr>
          <w:rFonts w:ascii="Times New Roman" w:cs="Times New Roman" w:eastAsia="Times New Roman" w:hAnsi="Times New Roman"/>
          <w:sz w:val="18"/>
          <w:szCs w:val="18"/>
          <w:color w:val="auto"/>
        </w:rPr>
      </w:pPr>
    </w:p>
    <w:p>
      <w:pPr>
        <w:jc w:val="both"/>
        <w:ind w:left="1960" w:firstLine="640"/>
        <w:spacing w:after="0" w:line="256" w:lineRule="auto"/>
        <w:tabs>
          <w:tab w:leader="none" w:pos="375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executed originals of IRS Form W-8IMY, accompanied by IRS Form W-8ECI, IRS Form W-8BEN or W-8BEN-E, a U.S. Tax Compliance Certificate substantially in the form of Exhibit E-2 or Exhibit E-3,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85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30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“FATCA” shall include any amendments made to FATCA after the date of this Agreement.</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1304"/>
        <w:spacing w:after="0" w:line="253" w:lineRule="auto"/>
        <w:tabs>
          <w:tab w:leader="none" w:pos="196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9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term “Lender” includes any Issuing Bank and the term “applicable law”</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FATCA.</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7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Without Duplication</w:t>
      </w:r>
      <w:r>
        <w:rPr>
          <w:rFonts w:ascii="Times New Roman" w:cs="Times New Roman" w:eastAsia="Times New Roman" w:hAnsi="Times New Roman"/>
          <w:sz w:val="18"/>
          <w:szCs w:val="18"/>
          <w:color w:val="auto"/>
        </w:rPr>
        <w:t xml:space="preserve">. For the avoidance of doubt, no Loan Party shall be required to gross-up or indemnify a Recipient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for any Taxes to the extent another Loan Party has already grossed-up or indemnified such Recipient, or pay any Other Taxes to the extent another Loan Party has already paid such Other Taxes to the relevant Governmental Authority.</w:t>
      </w:r>
    </w:p>
    <w:p>
      <w:pPr>
        <w:spacing w:after="0" w:line="176" w:lineRule="exact"/>
        <w:rPr>
          <w:sz w:val="20"/>
          <w:szCs w:val="20"/>
          <w:color w:val="auto"/>
        </w:rPr>
      </w:pPr>
    </w:p>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2.18</w:t>
      </w:r>
      <w:r>
        <w:rPr>
          <w:sz w:val="20"/>
          <w:szCs w:val="20"/>
          <w:color w:val="auto"/>
        </w:rPr>
        <w:tab/>
      </w:r>
      <w:r>
        <w:rPr>
          <w:rFonts w:ascii="Times New Roman" w:cs="Times New Roman" w:eastAsia="Times New Roman" w:hAnsi="Times New Roman"/>
          <w:sz w:val="17"/>
          <w:szCs w:val="17"/>
          <w:u w:val="single" w:color="auto"/>
          <w:color w:val="auto"/>
        </w:rPr>
        <w:t>Payments Generally; Allocation of Proceeds; Sharing of Setoffs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231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make each payment required to be made by it hereunder (whether of principal, interest, fees or reimbursement of LC Disbursements, or of amounts payable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otherwise) prior to 3:00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one or more accounts as it may designate to the Borrower in writing from time to time, except payments to be made directly to an Issuing Bank as expressly provided herein and except that payments pursuant to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1304"/>
        <w:spacing w:after="0" w:line="252" w:lineRule="auto"/>
        <w:tabs>
          <w:tab w:leader="none" w:pos="205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proceeds of Collateral received by the Administrative Agent (i) not constituting a specific payment of principal, interest, fees or other sum payable under the Loan Documents (which shall be applied as specified by the Borrower), or (ii) after an Event of Default has occurred and is continuing, shall be applied ratably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 any fees, indemnities, or expense reimbursements including amounts then due to the Administrative Agent and the Issuing Banks from the Borrower (other than in connection with Banking Services Obligations or Swap Agreement Obligations),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 any fees or expense reimbursements then due to the Lenders from the Borrower (other than in connection with Banking Services Obligations or Swap Agreement Obligations),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 interest then due and payable on the Loans ratably,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prepay principal on the Loans and unreimbursed LC Disbursements,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pay an amount to the Administrative Agent equal to one hundred five percent (105%) of the aggregate undrawn face amount of all outstanding Letters of Credit, to be held as cash collateral for such Obligations,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payment of any amounts owing with respect to Secured Banking Services Obligations and Secured Swap Agreement Obligations, and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to the payment of any other Secured Obligation due to the Administrative Agent or any Lender by the Borrower. Notwithstanding the foregoing, amounts received from any Loan Party shall not be applied to any Excluded Swap Obligation of such Loan Party. Notwithstanding anything to the contrary contained in this Agreement, unless so directed by the Borrower, or unless a Default is in existence, neither the Administrative Agent nor any Lender shall apply any payment which it receives to any Term SOFR Loan, except (a) on the expiration date of the Interest Period applicable to any such Term SOFR Loan or (b) in the event, and only to the extent, that there are no outstanding ABR Loans and, in any such event, the Borrower shall pay the break funding payment required in accordance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The Administrative Agent and the Lenders shall have the continuing and exclusive right to apply and reverse and reapply any and all such proceeds and payments to any portion of the Secured Obligations.</w:t>
      </w:r>
    </w:p>
    <w:p>
      <w:pPr>
        <w:spacing w:after="0" w:line="19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Obligations arising under Banking Services Obligations or Swap Agreement Obligations shall be excluded from the application described above and paid in </w:t>
      </w:r>
      <w:r>
        <w:rPr>
          <w:rFonts w:ascii="Times New Roman" w:cs="Times New Roman" w:eastAsia="Times New Roman" w:hAnsi="Times New Roman"/>
          <w:sz w:val="18"/>
          <w:szCs w:val="18"/>
          <w:u w:val="single" w:color="auto"/>
          <w:color w:val="auto"/>
        </w:rPr>
        <w:t>clause sixth</w:t>
      </w:r>
      <w:r>
        <w:rPr>
          <w:rFonts w:ascii="Times New Roman" w:cs="Times New Roman" w:eastAsia="Times New Roman" w:hAnsi="Times New Roman"/>
          <w:sz w:val="18"/>
          <w:szCs w:val="18"/>
          <w:color w:val="auto"/>
        </w:rPr>
        <w:t xml:space="preserve"> if the Administrative Agent has not received written notice thereof, together with such supporting documentation as the Administrative Agent may have reasonably requested from the applicable provider of such Banking Services or Swap Agreements.</w:t>
      </w:r>
    </w:p>
    <w:p>
      <w:pPr>
        <w:spacing w:after="0" w:line="180" w:lineRule="exact"/>
        <w:rPr>
          <w:sz w:val="20"/>
          <w:szCs w:val="20"/>
          <w:color w:val="auto"/>
        </w:rPr>
      </w:pPr>
    </w:p>
    <w:p>
      <w:pPr>
        <w:jc w:val="both"/>
        <w:ind w:firstLine="1304"/>
        <w:spacing w:after="0" w:line="258" w:lineRule="auto"/>
        <w:tabs>
          <w:tab w:leader="none" w:pos="205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election of the Borrower but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all payments of principal, interest, LC Disbursements, fees, premiums, reimbursable expenses (including, without limitation, all reimbursement for fees, costs and expenses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and other sums payable under the Loan Documents, may be paid from the proceeds of Borrowings made hereunder whether made following a request by the Borrower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or a deemed request as provided in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or may be deducted from any deposit account of the Borrower maintained with the Administrative Agent.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(A) the Borrower or any Subsidiary (as to which the provisions of this paragraph shall apply) or (B) to the extent such payment is made directly by the Borrower or any Subsidiary (and is not otherwise permitted by this Agreement), any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1304"/>
        <w:spacing w:after="0" w:line="254" w:lineRule="auto"/>
        <w:tabs>
          <w:tab w:leader="none" w:pos="197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the Borrower prior to the date on which any payment is due to the Administrative Agent for the account of the Lenders or any Issuing Bank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7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fail to make any payment required to be made by it hereunder, then the Administrative Agent may, in its discretion (notwithstanding any contrary provision hereof), (i) apply any amounts thereafter received by the Administrative Agent for the account of such Lender to satisfy such Lender’s obligations hereunder until all such unsatisfied obligations are fully paid and/or (ii) hold any such amounts in a segregated account as cash collateral for, and apply any such amounts to, any future funding obligations of such Lender hereunder; application of amounts pursuant to</w:t>
      </w:r>
    </w:p>
    <w:p>
      <w:pPr>
        <w:spacing w:after="0" w:line="2"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above shall be made in such order as may be determined by the Administrative Agent in its discretion.”</w:t>
      </w:r>
    </w:p>
    <w:p>
      <w:pPr>
        <w:spacing w:after="0" w:line="206"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5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from time to time provide the Borrower with billing statements or invoices with respect to any of the Secured Obligations (the “</w:t>
      </w:r>
      <w:r>
        <w:rPr>
          <w:rFonts w:ascii="Times New Roman" w:cs="Times New Roman" w:eastAsia="Times New Roman" w:hAnsi="Times New Roman"/>
          <w:sz w:val="18"/>
          <w:szCs w:val="18"/>
          <w:u w:val="single" w:color="auto"/>
          <w:color w:val="auto"/>
        </w:rPr>
        <w:t>Billing Statements</w:t>
      </w:r>
      <w:r>
        <w:rPr>
          <w:rFonts w:ascii="Times New Roman" w:cs="Times New Roman" w:eastAsia="Times New Roman" w:hAnsi="Times New Roman"/>
          <w:sz w:val="18"/>
          <w:szCs w:val="18"/>
          <w:color w:val="auto"/>
        </w:rPr>
        <w:t xml:space="preserve">”). The Administrative Agent is under no duty or obligation to provide Billing Statements, which, if provided, will be solely for the Borrower’s convenience. The Billing Statements may contain estimates of the amounts owed during the relevant billing period, whether of principal, interest, fees or other Secured Obligations. If the Borrower pays the full amount indicated on a Billing Statement on or before the due date indicated on such Billing Statement, the Borrower shall not be in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acceptance by the Administrative Agent, on behalf of the Lenders, of any payment that is less than the payment due at that time shall not constitute a waiver of the Administrative Agent’s or the Lenders’ right to receive payment in full at another time.</w:t>
      </w:r>
    </w:p>
    <w:p>
      <w:pPr>
        <w:spacing w:after="0" w:line="189" w:lineRule="exact"/>
        <w:rPr>
          <w:sz w:val="20"/>
          <w:szCs w:val="20"/>
          <w:color w:val="auto"/>
        </w:rPr>
      </w:pPr>
    </w:p>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2.19</w:t>
      </w:r>
      <w:r>
        <w:rPr>
          <w:sz w:val="20"/>
          <w:szCs w:val="20"/>
          <w:color w:val="auto"/>
        </w:rPr>
        <w:tab/>
      </w:r>
      <w:r>
        <w:rPr>
          <w:rFonts w:ascii="Times New Roman" w:cs="Times New Roman" w:eastAsia="Times New Roman" w:hAnsi="Times New Roman"/>
          <w:sz w:val="17"/>
          <w:szCs w:val="17"/>
          <w:u w:val="single" w:color="auto"/>
          <w:color w:val="auto"/>
        </w:rPr>
        <w:t>Mitigation Obligations; Replacement of Lenders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if the Borrower or the Loan Guarantors are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10.09</w:t>
      </w:r>
      <w:r>
        <w:rPr>
          <w:rFonts w:ascii="Times New Roman" w:cs="Times New Roman" w:eastAsia="Times New Roman" w:hAnsi="Times New Roman"/>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10.09</w:t>
      </w:r>
      <w:r>
        <w:rPr>
          <w:rFonts w:ascii="Times New Roman" w:cs="Times New Roman" w:eastAsia="Times New Roman" w:hAnsi="Times New Roman"/>
          <w:sz w:val="18"/>
          <w:szCs w:val="18"/>
          <w:color w:val="auto"/>
        </w:rPr>
        <w:t>, as the case may be, in the future and (ii) would not subject such Lender to any unreimbursed cost or expense and would not otherwise be disadvantageous to such Lender. The Borrower hereby agrees to pay all reasonable and documented out-of-pocket costs and expenses incurred by any Lender in connection with any such designation or assignment).</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1304"/>
        <w:spacing w:after="0" w:line="252" w:lineRule="auto"/>
        <w:tabs>
          <w:tab w:leader="none" w:pos="200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(ii) any Lender fails to consent to a requested amendment, waiver or modification to any Loan Document in which Required Lenders have already consented to such amendment, waiver or modification but the consent of each Lender (or each Lender directly affected thereby, as applicable) is required with respect thereto, (iii) the Borrower or the Loan Guarantors are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or (iv) any Lender becomes a Defaulting Lender,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all its interests, rights (other than its existing rights to payments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obligations under this Agreement and other Loan Documents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Borrower shall have received the prior written consent of the Administrative Agent (and if a Commitment is being assigned, the Issuing Banks), which consent shall not unreasonably be withheld, (B)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Borrower (in the case of all other amounts) and (C) in the case of any such assignment resulting from a claim for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Sections 2.17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10.09</w:t>
      </w:r>
      <w:r>
        <w:rPr>
          <w:rFonts w:ascii="Times New Roman" w:cs="Times New Roman" w:eastAsia="Times New Roman" w:hAnsi="Times New Roman"/>
          <w:sz w:val="18"/>
          <w:szCs w:val="18"/>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95" w:lineRule="exact"/>
        <w:rPr>
          <w:sz w:val="20"/>
          <w:szCs w:val="20"/>
          <w:color w:val="auto"/>
        </w:rPr>
      </w:pPr>
    </w:p>
    <w:p>
      <w:pPr>
        <w:ind w:left="660"/>
        <w:spacing w:after="0"/>
        <w:tabs>
          <w:tab w:leader="none" w:pos="2820" w:val="left"/>
        </w:tabs>
        <w:rPr>
          <w:sz w:val="20"/>
          <w:szCs w:val="20"/>
          <w:color w:val="auto"/>
        </w:rPr>
      </w:pPr>
      <w:r>
        <w:rPr>
          <w:rFonts w:ascii="Times New Roman" w:cs="Times New Roman" w:eastAsia="Times New Roman" w:hAnsi="Times New Roman"/>
          <w:sz w:val="18"/>
          <w:szCs w:val="18"/>
          <w:color w:val="auto"/>
        </w:rPr>
        <w:t>SECTION 2.20</w:t>
      </w:r>
      <w:r>
        <w:rPr>
          <w:sz w:val="20"/>
          <w:szCs w:val="20"/>
          <w:color w:val="auto"/>
        </w:rPr>
        <w:tab/>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Defaulting Lender, then the following provisions shall apply for so long as such Lender is a Defaulting Lender:</w:t>
      </w:r>
    </w:p>
    <w:p>
      <w:pPr>
        <w:spacing w:after="0" w:line="207" w:lineRule="exact"/>
        <w:rPr>
          <w:sz w:val="20"/>
          <w:szCs w:val="20"/>
          <w:color w:val="auto"/>
        </w:rPr>
      </w:pPr>
    </w:p>
    <w:p>
      <w:pPr>
        <w:ind w:left="2000" w:hanging="696"/>
        <w:spacing w:after="0"/>
        <w:tabs>
          <w:tab w:leader="none" w:pos="2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fees shall cease to accrue on the unfunded portion of the Commitment of such Defaulting Lender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Defaulting Lender shall not have the right to vote on any issue on which voting is required (other than to the extent expressly provided in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and the Commitment and Credit Exposure of such Defaulting Lender shall not be included in determining whether all Lenders or the Required Lenders have taken or may take any action hereunder (including any consent to any amendment, waiver or other modification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under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otherwise provided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not apply to the vote of a Defaulting Lender in the case of an amendment, waiver or other modification requiring the consent of such Lender or each Lender directly affected thereby;</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ind w:left="2000" w:hanging="696"/>
        <w:spacing w:after="0"/>
        <w:tabs>
          <w:tab w:leader="none" w:pos="2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LC Exposure exists at the time a Lender becomes a Defaulting Lender then:</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317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the LC Exposure of such Defaulting Lender shall be reallocated among the non-Defaulting Lenders in accordance with their respective Applicable Percentages but only to the extent that the sum of all non-Defaulting Lenders’ Credit Exposures plus such Defaulting Lender’s LC Exposure does not exceed the total of all non-Defaulting Lenders’ Commitments; and</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91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reallocation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cannot, or can only partially, be effected, the Borrower shall within one Business Day following notice by the Administrative Agent, cash collateralize for the benefit of the Issuing Banks only the Borrower’s obligations corresponding to such Defaulting Lender’s LC Exposure (after giving effect to any partial reallocation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in accordance with the procedures set forth in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 xml:space="preserve"> for so long as such LC Exposure is outstanding;</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308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cash collateralizes any portion of such Defaulting Lender’s LC Exposure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2.20(c)</w:t>
      </w:r>
      <w:r>
        <w:rPr>
          <w:rFonts w:ascii="Times New Roman" w:cs="Times New Roman" w:eastAsia="Times New Roman" w:hAnsi="Times New Roman"/>
          <w:sz w:val="18"/>
          <w:szCs w:val="18"/>
          <w:color w:val="auto"/>
        </w:rPr>
        <w:t xml:space="preserve">, the Borrower shall not be required to pay any fees to such Defaulting Lender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Lender’s LC Exposure during the period such Defaulting Lender’s LC Exposure is cash collateralized;</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84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LC Exposure of the non-Defaulting Lenders is reallocated pursuant to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then the fees payable to the Lenders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shall be adjusted in accordance with such non-Defaulting Lenders’ Applicable Percentages; or</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88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all or any portion of such Defaulting Lender’s LC Exposure is neither cash collateralized nor reallocated pursuant to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then, without prejudice to any rights or remedies of any Issuing Bank or any other Lender hereunder, all facility fees that otherwise would have been payable to such Defaulting Lender (solely with respect to the portion of such Defaulting Lender’s Commitment that was utilized by such LC Exposure) and letter of credit fees payable under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Lender’s LC Exposure shall be payable to the Issuing Banks until such LC Exposure is cash collateralized and/or reallocated;</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6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such Lender is a Defaulting Lender, no Issuing Bank shall be required to issue or increase any Letter of Credit, unless it is reasonably satisfied that the related exposure and the Defaulting Lender’s then outstanding LC Exposure will be 100% covered by the Commitments of the non-Defaulting Lenders and/or cash collateral will be provided by the Borrower in accordance with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and participating interests in any such newly issued or increased Letter of Credit shall be allocated among non-Defaulting Lenders in a manner consistent with </w:t>
      </w:r>
      <w:r>
        <w:rPr>
          <w:rFonts w:ascii="Times New Roman" w:cs="Times New Roman" w:eastAsia="Times New Roman" w:hAnsi="Times New Roman"/>
          <w:sz w:val="18"/>
          <w:szCs w:val="18"/>
          <w:u w:val="single" w:color="auto"/>
          <w:color w:val="auto"/>
        </w:rPr>
        <w:t>Section 2.20(c)(i)</w:t>
      </w:r>
      <w:r>
        <w:rPr>
          <w:rFonts w:ascii="Times New Roman" w:cs="Times New Roman" w:eastAsia="Times New Roman" w:hAnsi="Times New Roman"/>
          <w:sz w:val="18"/>
          <w:szCs w:val="18"/>
          <w:color w:val="auto"/>
        </w:rPr>
        <w:t xml:space="preserve"> (and such Defaulting Lender shall not participate therein);</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7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 Bankruptcy Event with respect to a Parent of any Lender shall occur following the date hereof and for so long as such event shall continue or (ii) an Issuing Bank has a good faith belief that any Lender has defaulted in fulfilling its obligations under one or more other agreements in which such Lender commits to extend credit, such Issuing Bank shall not be required to issue or increase any Letter of Credit unless such Issuing Bank shall have entered into arrangements with the Borrower or such Lender, reasonably satisfactory to such Issuing Bank, as the case may be, to defease any risk to it in respect of such Lender hereunder;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7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and on the date that each of the Administrative Agent, the Borrower, and each Issuing Bank agrees that a Defaulting Lender has adequately remedied all matters that caused such Lender to be a Defaulting Lender, then the LC Exposure of the other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Applicable Percentage.</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Returned Payments</w:t>
      </w:r>
      <w:r>
        <w:rPr>
          <w:rFonts w:ascii="Times New Roman" w:cs="Times New Roman" w:eastAsia="Times New Roman" w:hAnsi="Times New Roman"/>
          <w:sz w:val="18"/>
          <w:szCs w:val="18"/>
          <w:color w:val="auto"/>
        </w:rPr>
        <w:t xml:space="preserve">.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shall be and remain effective notwithstanding any contrary action which may have been taken by the Administrative Agent or any Lender in reliance upon such payment or application of proceeds. The provisions of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shall survive the termination of this Agreement.</w:t>
      </w:r>
    </w:p>
    <w:p>
      <w:pPr>
        <w:spacing w:after="0" w:line="192" w:lineRule="exact"/>
        <w:rPr>
          <w:sz w:val="20"/>
          <w:szCs w:val="20"/>
          <w:color w:val="auto"/>
        </w:rPr>
      </w:pPr>
    </w:p>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2.22</w:t>
      </w:r>
      <w:r>
        <w:rPr>
          <w:sz w:val="20"/>
          <w:szCs w:val="20"/>
          <w:color w:val="auto"/>
        </w:rPr>
        <w:tab/>
      </w:r>
      <w:r>
        <w:rPr>
          <w:rFonts w:ascii="Times New Roman" w:cs="Times New Roman" w:eastAsia="Times New Roman" w:hAnsi="Times New Roman"/>
          <w:sz w:val="17"/>
          <w:szCs w:val="17"/>
          <w:u w:val="single" w:color="auto"/>
          <w:color w:val="auto"/>
        </w:rPr>
        <w:t>Amend and Extend Transactions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94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by written notice to the Administrative Agent from time to time, request an extension (each, an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of the Maturity Date to the extended maturity date specified in such notice. Such notice shall (i) set forth the amount of Commitments that will be subject to the Extension (which request shall be in minimum increments of $1 million and a minimum amount of $5 million), and (ii) set forth the date on which such Extension is requested to become effective (which shall be not less than ten (10) Business Days nor more than sixty (60) days after the date of such Extension notice (or such longer or shorter periods as the Administrative Agent shall agree in its sole discretion)). The Lenders shall be offered (an “</w:t>
      </w:r>
      <w:r>
        <w:rPr>
          <w:rFonts w:ascii="Times New Roman" w:cs="Times New Roman" w:eastAsia="Times New Roman" w:hAnsi="Times New Roman"/>
          <w:sz w:val="18"/>
          <w:szCs w:val="18"/>
          <w:u w:val="single" w:color="auto"/>
          <w:color w:val="auto"/>
        </w:rPr>
        <w:t>Extension Offer</w:t>
      </w:r>
      <w:r>
        <w:rPr>
          <w:rFonts w:ascii="Times New Roman" w:cs="Times New Roman" w:eastAsia="Times New Roman" w:hAnsi="Times New Roman"/>
          <w:sz w:val="18"/>
          <w:szCs w:val="18"/>
          <w:color w:val="auto"/>
        </w:rPr>
        <w:t>”) an opportunity to participate in such Extension on a pro rata basis and on the same terms and conditions as each other Lender pursuant to procedures established by, or reasonably acceptable to, the Administrative Agent and Borrower. If the aggregate principal amount of Commitments in respect of which Lenders shall have accepted the relevant Extension Offer shall exceed the maximum aggregate principal amount of Commitments subject to the Extension Offer as set forth in the Extension notice, then the Commitments of the Lenders shall be extended ratably up to such maximum amount based on the respective principal amounts with respect to which such Lenders have accepted such Extension Offer.</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9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shall be conditions precedent to the effectiveness of any Extension: (i) no Default or Event of Default shall have occurred and be continuing immediately prior to and immediately after giving effect to such Extension, (ii)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in each other Loan Document shall be deemed to be made and shall be true and correct in all material respects on and as of the effective date of such Extension, (iii) each relevant Issuing Bank shall have consented to any Extension of the Commitments, to the extent that such Extension provides for the issuance or extension of Letters of Credit at any time during the extended period and (iv) the terms of such Extended Revolving Credit Commitments shall comply with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3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of each Extension shall be determined by the Borrower and the applicable extending Lenders and set forth in an Extension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the final maturity date of any Extended Revolving Credit Commitment shall be no earlier than the Maturity Date,</w:t>
      </w:r>
    </w:p>
    <w:p>
      <w:pPr>
        <w:jc w:val="both"/>
        <w:ind w:firstLine="8"/>
        <w:spacing w:after="0" w:line="252" w:lineRule="auto"/>
        <w:tabs>
          <w:tab w:leader="none" w:pos="28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scheduled amortization of the loans or reductions of commitments under any Extended Revolving Credit Commitments, (iii) the Extended Loans will rank pari passu in right of payment and security with the existing Loans and the borrower, guarantors and collateral of the Extended Revolving Credit Commitments shall be the same as the borrower, Guarantors and Collateral with respect to the existing Loans, (iv) the interest rate margin and any fees applicable to any Extended Revolving Credit Commitment (and the Extended Loans thereunder) shall be determined by Borrower and the applicable extending Lenders, (v) borrowing and prepayment of Extended Loans, or reductions of Extended Revolving Credit Commitments, and participation in Letters of Credit, shall be on a pro rata basis with the other Loans or Commitments (other than upon the maturity of the non-extended Loans and Commitments) and (vi) the terms of the Extended Revolving Credit Commitments shall be substantially identical to the terms set forth herein.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1304"/>
        <w:spacing w:after="0" w:line="254" w:lineRule="auto"/>
        <w:tabs>
          <w:tab w:leader="none" w:pos="200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Extension, the Borrower, the Administrative Agent and each applicable extending Lender shall execute and deliver to the Administrative Agent an Extension Amendment and such other documentation as the Administrative Agent shall reasonably specify to evidence the Extension. The Administrative Agent shall promptly notify each Lender as to the effectiveness of each Extension. Any Extension Amendment may, without the consent of any other Lender, effect such amendments to this Agreement and the other Loan Documents as may be necessary or appropriate, in the reasonable opinion of the Administrative Agent and the Borrower, to implement the terms of any such Extension, including any amendments necessary to establish Extended Revolving Credit Commitments as tranche of Commitments and such other technical amendments as may be necessary or appropriate in the reasonable opinion of the Administrative Agent and the Borrower in connection with the establishment of such new tranche (including to preserve the pro rata treatment of the extended and non-extended tranches and to provide for the reallocation of Credit Exposure upon the expiration or termination of the commitments under any tranche), in each case on terms consistent with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2.23</w:t>
      </w:r>
      <w:r>
        <w:rPr>
          <w:sz w:val="20"/>
          <w:szCs w:val="20"/>
          <w:color w:val="auto"/>
        </w:rPr>
        <w:tab/>
      </w:r>
      <w:r>
        <w:rPr>
          <w:rFonts w:ascii="Times New Roman" w:cs="Times New Roman" w:eastAsia="Times New Roman" w:hAnsi="Times New Roman"/>
          <w:sz w:val="17"/>
          <w:szCs w:val="17"/>
          <w:u w:val="single" w:color="auto"/>
          <w:color w:val="auto"/>
        </w:rPr>
        <w:t>Increase of 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82" w:lineRule="auto"/>
        <w:tabs>
          <w:tab w:leader="none" w:pos="194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the right at any time after the Amendment and Restatement Effective Date to request that the aggregate Commitments hereunder be increased (a “</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in accordance with the following provisions and subject to the following conditions:</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31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give the Administrative Agent, which shall promptly deliver a copy thereof to each of the Lenders, at least ten (10) Business Days’ prior written notice (a “</w:t>
      </w:r>
      <w:r>
        <w:rPr>
          <w:rFonts w:ascii="Times New Roman" w:cs="Times New Roman" w:eastAsia="Times New Roman" w:hAnsi="Times New Roman"/>
          <w:sz w:val="18"/>
          <w:szCs w:val="18"/>
          <w:u w:val="single" w:color="auto"/>
          <w:color w:val="auto"/>
        </w:rPr>
        <w:t>Notice of Increase</w:t>
      </w:r>
      <w:r>
        <w:rPr>
          <w:rFonts w:ascii="Times New Roman" w:cs="Times New Roman" w:eastAsia="Times New Roman" w:hAnsi="Times New Roman"/>
          <w:sz w:val="18"/>
          <w:szCs w:val="18"/>
          <w:color w:val="auto"/>
        </w:rPr>
        <w:t>”) of any such requested increase specifying the aggregate amount by which the Commitments are to be increased (the “</w:t>
      </w:r>
      <w:r>
        <w:rPr>
          <w:rFonts w:ascii="Times New Roman" w:cs="Times New Roman" w:eastAsia="Times New Roman" w:hAnsi="Times New Roman"/>
          <w:sz w:val="18"/>
          <w:szCs w:val="18"/>
          <w:u w:val="single" w:color="auto"/>
          <w:color w:val="auto"/>
        </w:rPr>
        <w:t>Requested Increase Amount</w:t>
      </w:r>
      <w:r>
        <w:rPr>
          <w:rFonts w:ascii="Times New Roman" w:cs="Times New Roman" w:eastAsia="Times New Roman" w:hAnsi="Times New Roman"/>
          <w:sz w:val="18"/>
          <w:szCs w:val="18"/>
          <w:color w:val="auto"/>
        </w:rPr>
        <w:t>”), which shall be at least $10 million, the requested date of increase (the “</w:t>
      </w:r>
      <w:r>
        <w:rPr>
          <w:rFonts w:ascii="Times New Roman" w:cs="Times New Roman" w:eastAsia="Times New Roman" w:hAnsi="Times New Roman"/>
          <w:sz w:val="18"/>
          <w:szCs w:val="18"/>
          <w:u w:val="single" w:color="auto"/>
          <w:color w:val="auto"/>
        </w:rPr>
        <w:t>Requested Increase Date</w:t>
      </w:r>
      <w:r>
        <w:rPr>
          <w:rFonts w:ascii="Times New Roman" w:cs="Times New Roman" w:eastAsia="Times New Roman" w:hAnsi="Times New Roman"/>
          <w:sz w:val="18"/>
          <w:szCs w:val="18"/>
          <w:color w:val="auto"/>
        </w:rPr>
        <w:t>”) and the date by which the Lenders wishing to participate in the Commitment Increase must commit to an increase in the amount of their respective Credit Commitments (the “</w:t>
      </w:r>
      <w:r>
        <w:rPr>
          <w:rFonts w:ascii="Times New Roman" w:cs="Times New Roman" w:eastAsia="Times New Roman" w:hAnsi="Times New Roman"/>
          <w:sz w:val="18"/>
          <w:szCs w:val="18"/>
          <w:u w:val="single" w:color="auto"/>
          <w:color w:val="auto"/>
        </w:rPr>
        <w:t>Commitment Date</w:t>
      </w:r>
      <w:r>
        <w:rPr>
          <w:rFonts w:ascii="Times New Roman" w:cs="Times New Roman" w:eastAsia="Times New Roman" w:hAnsi="Times New Roman"/>
          <w:sz w:val="18"/>
          <w:szCs w:val="18"/>
          <w:color w:val="auto"/>
        </w:rPr>
        <w:t>”). Each Lender that is willing in its sole discretion to participate in such requested Commitment Increase (each an “</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shall give written notice to the Administrative Agent on or prior to the Commitment Date of the amount by which it is willing to increase its Commitment.</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85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following each Commitment Date, the Administrative Agent shall notify the Borrower as to the amount, if any, by which the Lenders are willing to participate in the requested Commitment Increase. In addition, the Borrower may extend offers to one or more Eligible Assignees, each of which must be reasonably satisfactory to the Administrative Agent, (such consent not to be unreasonably withheld) to participate in any portion of the requested Commitment Increase;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Commitment of each such Eligible Assignee shall be in an amount of not less than $1 million or an integral multiple of $1 million in excess thereof. Any such Eligible Assignee that agrees to acquire a Commitment pursuant hereto is herein called an “</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left="660" w:firstLine="1292"/>
        <w:spacing w:after="0" w:line="254" w:lineRule="auto"/>
        <w:tabs>
          <w:tab w:leader="none" w:pos="285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Effective on the Requested Increase Date, subject to the terms and conditions hereof, (x)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shall be deemed to be amended to reflect the increases contemplated hereby, (y) the Commitment of each Increasing Lender shall be increased by an amount determined by the Administrative Agent and the Borrower (but in no event greater than the amount by which such Lender is willing to increase its Commitment), and (z) each Additional Lender shall enter into an agreement in form and substance reasonably satisfactory to the Borrower and the Administrative Agent pursuant to which it shall undertake, as of such Requested Increase Date, a new Commitment in an amount determined by the Administrative Agent and the Borrower (but in no event greater than the amount by which such Lender is willing to participate in the requested Commitment Increase), and such Additional Lender shall thereupon be deemed to be a Lender for all purposes of this Agreement.</w:t>
      </w:r>
    </w:p>
    <w:p>
      <w:pPr>
        <w:spacing w:after="0" w:line="191"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85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Requested Increase Date there are any Loans outstanding hereunder, the Borrower shall borrow from all or certain of the Lenders and/or prepay Loans of all or certain of the Lenders such that, after giving effect thereto, the Loans (including, without limitation, the Types and Interest Periods thereof) and such participations shall be held by the Lenders (including for such purposes the Increasing Lenders and the Additional Lenders) ratably in accordance with their respective Commitments. On and after each Increase Date, the ratable share of each Lender’s participation in Letters of Credit and Loans from draws under Letters of Credit shall be calculated after giving effect to each such Commitment Increase.</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98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in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to the contrary notwithstanding, no increase in the aggregate Commitments hereunder pursuant to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shall be effective unless:</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91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the relevant Notice of Increase and on the relevant Requested Increase Date and after giving effect to such increase, (x) no Default or Event of Default shall have occurred and be continuing and (y) the condition set forth in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 xml:space="preserve"> shall be required to be satisfied;</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318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reasonably requested by the Administrative Agent, receipt by the Administrative Agent of (A) customary legal opinions, board resolutions and officers’ certificates consistent with the documentation delivered on the Amendment and Restatement Effective Date (conformed as appropriate) other than changes to such legal opinions resulting from a change in law, change in fact or change to counsel’s form of opinion reasonably satisfactory to the Administrative Agent and (B) any reaffirmation or similar documentation as reasonably requested by the Administrative Agent in order to ensure that such Increasing Lender or Additional Lender is provided with the benefit of the applicable Loan Documents; and</w:t>
      </w:r>
    </w:p>
    <w:p>
      <w:pPr>
        <w:spacing w:after="0" w:line="187" w:lineRule="exact"/>
        <w:rPr>
          <w:rFonts w:ascii="Times New Roman" w:cs="Times New Roman" w:eastAsia="Times New Roman" w:hAnsi="Times New Roman"/>
          <w:sz w:val="18"/>
          <w:szCs w:val="18"/>
          <w:color w:val="auto"/>
        </w:rPr>
      </w:pPr>
    </w:p>
    <w:p>
      <w:pPr>
        <w:ind w:left="660" w:firstLine="1292"/>
        <w:spacing w:after="0" w:line="282" w:lineRule="auto"/>
        <w:tabs>
          <w:tab w:leader="none" w:pos="285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any such increase after the Amendment and Restatement Effective Date, the aggregate amount of the Commitments shall not exceed $600 million.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2.24 </w:t>
      </w:r>
      <w:r>
        <w:rPr>
          <w:rFonts w:ascii="Times New Roman" w:cs="Times New Roman" w:eastAsia="Times New Roman" w:hAnsi="Times New Roman"/>
          <w:sz w:val="18"/>
          <w:szCs w:val="18"/>
          <w:u w:val="single" w:color="auto"/>
          <w:color w:val="auto"/>
        </w:rPr>
        <w:t>Banking Services and Swap Agreements</w:t>
      </w:r>
      <w:r>
        <w:rPr>
          <w:rFonts w:ascii="Times New Roman" w:cs="Times New Roman" w:eastAsia="Times New Roman" w:hAnsi="Times New Roman"/>
          <w:sz w:val="18"/>
          <w:szCs w:val="18"/>
          <w:color w:val="auto"/>
        </w:rPr>
        <w:t xml:space="preserve">. Each Lender or Affiliate thereof providing Banking Services for, or having Swap Agreements with, the Borrower or any of its Subsidiaries shall deliver to the Administrative Agent, promptly after entering into such Banking Services or Swap Agreements, written notice thereof, in each case, to the extent such Banking Services or Swap Agreements relate to Secured Obligations. In furtherance of that requirement, each such Lender or Affiliate thereof shall furnish the Administrative Agent, from time to time promptly upon a request therefor, a summary of the amounts due or to become due in respect of such Banking Services Obligations and Swap Agreement Obligations that constitute Secured Obligations, together with such supporting documentation as the Administrative Agent may have reasonably requested from the applicable provider of such Banking Services or Swap Agreement. The most recent information provided to the Administrative Agent shall be used in determining which tier of the waterfall, contained in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such Banking Services Obligations and/or Swap Agreement Obligations will be placed.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2.25</w:t>
      </w:r>
      <w:r>
        <w:rPr>
          <w:sz w:val="20"/>
          <w:szCs w:val="20"/>
          <w:color w:val="auto"/>
        </w:rPr>
        <w:tab/>
      </w:r>
      <w:r>
        <w:rPr>
          <w:rFonts w:ascii="Times New Roman" w:cs="Times New Roman" w:eastAsia="Times New Roman" w:hAnsi="Times New Roman"/>
          <w:sz w:val="17"/>
          <w:szCs w:val="17"/>
          <w:u w:val="single" w:color="auto"/>
          <w:color w:val="auto"/>
        </w:rPr>
        <w:t>Benchmark Replacement Setting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00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Notwithstanding anything to the contrary herein or in any other Loan Document, upon the occurrence of a Benchmark Transition Event, the Administrative Agent and the Borrower may amend this Agreement to replace the applicable then-current Benchmark with a Benchmark Replacement. Any such amendment with respect to a Benchmark Transition Event will become effective at 5:00 p.m. (New York City time) on the fifth (5th)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18"/>
          <w:szCs w:val="18"/>
          <w:u w:val="single" w:color="auto"/>
          <w:color w:val="auto"/>
        </w:rPr>
        <w:t>Section 2.25(a)</w:t>
      </w:r>
      <w:r>
        <w:rPr>
          <w:rFonts w:ascii="Times New Roman" w:cs="Times New Roman" w:eastAsia="Times New Roman" w:hAnsi="Times New Roman"/>
          <w:sz w:val="18"/>
          <w:szCs w:val="18"/>
          <w:color w:val="auto"/>
        </w:rPr>
        <w:t xml:space="preserve"> will occur prior to the applicable Benchmark Transition Start Date.</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9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3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18"/>
          <w:szCs w:val="18"/>
          <w:u w:val="single" w:color="auto"/>
          <w:color w:val="auto"/>
        </w:rPr>
        <w:t>Section 2.25(d)</w:t>
      </w:r>
      <w:r>
        <w:rPr>
          <w:rFonts w:ascii="Times New Roman" w:cs="Times New Roman" w:eastAsia="Times New Roman" w:hAnsi="Times New Roman"/>
          <w:sz w:val="18"/>
          <w:szCs w:val="18"/>
          <w:color w:val="auto"/>
        </w:rPr>
        <w:t xml:space="preserve"> and (y) the commencement of any Benchmark Unavailability Period. Any determination, decision or election that may be made by the Administrative Agent or, if applicable, any Lender (or group of Lenders ) pursuant to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9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(i) if the applicable then-current Benchmark is a term rate and either</w:t>
      </w:r>
    </w:p>
    <w:p>
      <w:pPr>
        <w:jc w:val="both"/>
        <w:ind w:firstLine="8"/>
        <w:spacing w:after="0" w:line="251" w:lineRule="auto"/>
        <w:tabs>
          <w:tab w:leader="none" w:pos="30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“Interest Payment Date”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“Interest Payment Date” (or any similar or analogous definition) for all Benchmark settings at or after such time to reinstate such previously removed tenor.</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1304"/>
        <w:spacing w:after="0" w:line="256" w:lineRule="auto"/>
        <w:tabs>
          <w:tab w:leader="none" w:pos="201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or the commencement of a Benchmark Unavailability Period, (i) the Borrower may revoke any pending request for Term SOFR Borrowing of, conversion to or continuation of Term SOFR Loans to be made, converted or continued during any Benchmark Unavailability Period and, failing that, the Borrower will be deemed to have converted any such request into a request for a Borrowing of or conversion to ABR Loans and (ii) any outstanding affected Term SOFR Loans will be deemed to have been converted into ABR Loans immediately. During a Benchmark Unavailability Period, the component of ABR based upon then-current Benchmark will not be used in any determination of ABR.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Loan Party represents and warrants to the Lenders that:</w:t>
      </w:r>
    </w:p>
    <w:p>
      <w:pPr>
        <w:spacing w:after="0" w:line="225" w:lineRule="exact"/>
        <w:rPr>
          <w:sz w:val="20"/>
          <w:szCs w:val="20"/>
          <w:color w:val="auto"/>
        </w:rPr>
      </w:pPr>
    </w:p>
    <w:p>
      <w:pPr>
        <w:ind w:left="66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Each of the Loan Parties and each of its Subsidiaries is duly organized, validly existing and in</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Transactions are within each Loan Party’s corporate or limited liability company powers, as the case may be, and have been duly authorized by all necessary corporate or limited liability company and, if required, stockholder or member action.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xml:space="preserve">. The Transactions (a) do not, on the part of any Loan Party or any of its Subsidiaries,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any Loan Party or any of its Subsidiaries or any order of any Governmental Authority, (c) will not violate or result in a default under, or give rise to a right to require any payment to be made by any Loan Party or any of its Subsidiaries under, (i) any indenture or loan agreement, in each case, evidencing Indebtedness in excess of $2 million, (ii) any Swap Agreement or (iii) any other material agreement, in each case which is binding upon any Loan Party or any of its Subsidiaries or its assets, and (d) will not result in the creation or imposition of any Lien on any asset of any Loan Party or any of its Subsidiaries, except Liens created pursuant to the Loan Documents,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(c)(iii)</w:t>
      </w:r>
      <w:r>
        <w:rPr>
          <w:rFonts w:ascii="Times New Roman" w:cs="Times New Roman" w:eastAsia="Times New Roman" w:hAnsi="Times New Roman"/>
          <w:sz w:val="18"/>
          <w:szCs w:val="18"/>
          <w:color w:val="auto"/>
        </w:rPr>
        <w:t>, except as would not reasonably be expected to result in a Material Adverse Effect.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7"/>
          <w:szCs w:val="17"/>
          <w:u w:val="single" w:color="auto"/>
          <w:color w:val="auto"/>
        </w:rPr>
        <w:t>Financial Condition; No Material Adverse Change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206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has heretofore furnished to the Lenders its consolidated balance sheet and statements of income, stockholders equity and cash flows (i) as of and for the fiscal year ended December 31, 2021, reported on by Deloitte and Touche LLP, independent public accountants. Such financial statements present fairly, in all material respects, the financial position and results of operations and cash flows of the Borrower and its consolidated Subsidiaries as of such dates and for such periods in accordance with GAAP, subject to year-end audit adjustments and the absence of footnotes in the case of the statements referred to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w:t>
      </w:r>
    </w:p>
    <w:p>
      <w:pPr>
        <w:spacing w:after="0" w:line="183"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change or condition has occurred that has had, or could reasonably be expected to have, a Material Adverse Effect,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2016.</w:t>
      </w:r>
    </w:p>
    <w:p>
      <w:pPr>
        <w:spacing w:after="0" w:line="207" w:lineRule="exact"/>
        <w:rPr>
          <w:sz w:val="20"/>
          <w:szCs w:val="20"/>
          <w:color w:val="auto"/>
        </w:rPr>
      </w:pPr>
    </w:p>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7"/>
          <w:szCs w:val="17"/>
          <w:u w:val="single" w:color="auto"/>
          <w:color w:val="auto"/>
        </w:rPr>
        <w:t>Properties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20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Loan Parties and its Subsidiaries has good title to, or valid leasehold interests in, all its real and personal property, except for defects in title that, individually or in the aggregate, could not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0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Loan Parties and its Subsidiaries owns, or is licensed to use, all trademarks, tradenames, copyrights, patents and other intellectual property material to its business, and the use thereof by the Loan Parties and its Subsidiaries does not infringe upon the rights of any other Person, except for any such infringements that, individually or in the aggregate, could not reasonably be expected to result in a Material Adverse Effect.</w:t>
      </w:r>
    </w:p>
    <w:p>
      <w:pPr>
        <w:spacing w:after="0" w:line="176" w:lineRule="exact"/>
        <w:rPr>
          <w:sz w:val="20"/>
          <w:szCs w:val="20"/>
          <w:color w:val="auto"/>
        </w:rPr>
      </w:pPr>
    </w:p>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7"/>
          <w:szCs w:val="17"/>
          <w:u w:val="single" w:color="auto"/>
          <w:color w:val="auto"/>
        </w:rPr>
        <w:t>Litigation and Environmental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210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or proceedings by or before any arbitrator or Governmental Authority pending against or, to the knowledge of any Loan Party, threatened against or affecting the Loan Parties or any of its Subsidiaries (i) that could reasonably be expected, individually or in the aggregate, to result in a Material Adverse Effect or (ii) that involve this Agreement or the Transactions.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 that, in each case, individually in the aggregate, could reasonably be expected to result in a Material Adverse Effect.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 and Agreements</w:t>
      </w:r>
      <w:r>
        <w:rPr>
          <w:rFonts w:ascii="Times New Roman" w:cs="Times New Roman" w:eastAsia="Times New Roman" w:hAnsi="Times New Roman"/>
          <w:sz w:val="18"/>
          <w:szCs w:val="18"/>
          <w:color w:val="auto"/>
        </w:rPr>
        <w:t>. Each Loan Party and its Subsidiaries is in compliance with all Requirements of Law applicable to it or its property and all indentures, agreements and other instruments binding upon it or its property, except where the failure to do so, individually or in the aggregate, could not reasonably be expected to result in a Material Adverse Effect. No Default has occurred and is continuing.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No Loan Party nor any of its Subsidiaries is an “investment company” as defined in, or subject to regulation under the Investment Company Act of 1940.</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Loan Party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such Loan Party or such Subsidiary, as applicable, has set aside on its books adequate reserves or (b) to the extent that the failure to do so could not reasonably be expected to result in a Material Adverse Effect.</w:t>
      </w:r>
    </w:p>
    <w:p>
      <w:pPr>
        <w:spacing w:after="0" w:line="180" w:lineRule="exact"/>
        <w:rPr>
          <w:sz w:val="20"/>
          <w:szCs w:val="20"/>
          <w:color w:val="auto"/>
        </w:rPr>
      </w:pPr>
    </w:p>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3.10</w:t>
      </w:r>
      <w:r>
        <w:rPr>
          <w:sz w:val="20"/>
          <w:szCs w:val="20"/>
          <w:color w:val="auto"/>
        </w:rPr>
        <w:tab/>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201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ERISA Event has occurred or is reasonably expected to occur that, when taken together with all other such ERISA Events for which liability is reasonably expected to occur, could reasonably be expected to result in a Material Adverse Effect. Except as could not reasonably be expected to result in a Material Adverse Effect, with respect to each Plan, the “funding target,” as defined in Section 430(d)(1) of the Code, with respect to such Plan, does not exceed the fair market value of all such Plan’s assets, as determined pursuant to Section 430(g) of the Code, all determined as of the then-most recent valuation date for such Plan using the actuarial assumptions used to determine the Plan’s “funding target attainment” percentage as defined in Section 430(d) of the Code.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2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represents and warrants as of the Amendment and Restatement Effective Date that the Borrower is not and will not be using “plan assets” (within the meaning of 29 CFR § 2510.3-101, as modified by Section 3(42) of ERISA) of one or more Benefit Plans in connection with the Loans, the Letters of Credit or the Commitments.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The Borrower has disclosed to the Lenders all agreements, instruments and corporate or other restrictions to which it or any Subsidiary is subject, and all other matters known to it, that, individually or in the aggregate, could reasonably be expected to result in a Material Adverse Effect. None of the reports, financial statements, certificates or other written information (other than any projected financial information or other forward-looking information or information of a general economic or general industry specific nature) furnished by or on behalf of any Loan Party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(taken as a whole), in the light of the circumstances under which they were made, not materially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projected financial information or other forward-looking information or information of a general economic or general industry specific nature, the Borrower represents only that such information was prepared in good faith based upon assumptions believed to be reasonable at the time (it being understood that any such information may differ from actual results and such differences may be material).</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Capitalization and 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xml:space="preserve"> sets forth, as of the date hereof, (a) a correct and complete list of the name and relationship to the Borrower of each and all of the Borrower’s Subsidiaries, (b) the type of entity and jurisdiction of organization of the Borrower and each of its Subsidiaries, and (c) which of the Borrower’s Subsidiaries are Material Domestic Subsidiaries and Material Foreign Subsidiaries. All of the issued and outstanding Equity Interests owned by any Loan Party has been (to the extent such concepts are relevant with respect to such ownership interests) duly authorized and issued and is fully paid and non-assessable.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Security Interest in Collateral</w:t>
      </w:r>
      <w:r>
        <w:rPr>
          <w:rFonts w:ascii="Times New Roman" w:cs="Times New Roman" w:eastAsia="Times New Roman" w:hAnsi="Times New Roman"/>
          <w:sz w:val="18"/>
          <w:szCs w:val="18"/>
          <w:color w:val="auto"/>
        </w:rPr>
        <w:t>. The provisions of this Agreement and the other Loan Documents create legal and valid Liens on all of the Collateral in favor of the Administrative Agent, for the benefit of the Secured Parties, and, upon filing a UCC financing statement in the Loan Parties’ applicable jurisdiction of organization such Liens, will constitute perfected and continuing Liens on the Collateral in which a security interest can be perfected by filing a UCC financing statement, securing the Secured Obligations, enforceable against the applicable Loan Party and all third parties, and having priority over all other Liens on the Collateral except in the case of (a) Permitted Encumbrances, to the extent any such Permitted Encumbrances would have priority over the Liens in favor of the Administrative Agent pursuant to any applicable law or agreement, and (b) Liens perfected only by possession (including possession of any certificate of title), to the extent the Administrative Agent has not obtained or does not maintain possession of such Collateral.</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2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3.14</w:t>
            </w:r>
          </w:p>
        </w:tc>
        <w:tc>
          <w:tcPr>
            <w:tcW w:w="120" w:type="dxa"/>
            <w:vAlign w:val="bottom"/>
          </w:tcPr>
          <w:p>
            <w:pPr>
              <w:spacing w:after="0"/>
              <w:rPr>
                <w:sz w:val="17"/>
                <w:szCs w:val="17"/>
                <w:color w:val="auto"/>
              </w:rPr>
            </w:pP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Federal Reserve Regulations. No part of the proceeds of any Loan or Letter of Credit has been used or will be used,</w:t>
            </w:r>
          </w:p>
        </w:tc>
      </w:tr>
      <w:tr>
        <w:trPr>
          <w:trHeight w:val="20"/>
        </w:trPr>
        <w:tc>
          <w:tcPr>
            <w:tcW w:w="2640" w:type="dxa"/>
            <w:vAlign w:val="bottom"/>
            <w:gridSpan w:val="2"/>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37"/>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whether directly or indirectly, for any purpose that entails a violation of any of the Regulations of the Board, including Regulations T, U and X.</w:t>
            </w:r>
          </w:p>
        </w:tc>
      </w:tr>
      <w:tr>
        <w:trPr>
          <w:trHeight w:val="391"/>
        </w:trPr>
        <w:tc>
          <w:tcPr>
            <w:tcW w:w="2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3.15</w:t>
            </w: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Anti-Corruption Laws and Sanctions. Each Loan Party has implemented and maintains in effect policies and procedures</w:t>
            </w:r>
          </w:p>
        </w:tc>
      </w:tr>
      <w:tr>
        <w:trPr>
          <w:trHeight w:val="20"/>
        </w:trPr>
        <w:tc>
          <w:tcPr>
            <w:tcW w:w="2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designed to ensure compliance by such Loan Party, its Subsidiaries and their respective directors, officers, employees and agents with Anti-Corruption Laws and applicable Sanctions, and such Loan Party, its Subsidiaries and their respective officers and employees and, to the knowledge of such Loan Party, its directors and agents, are in compliance with Anti-Corruption Laws and applicable Sanctions in all material respects. None of (a) any Loan Party, any Subsidiary or, to the knowledge of any such Loan Party or Subsidiary, any of their respective affiliates or directors, officers or employees, or (b) to the knowledge of any such Loan Party or Subsidiary, any agent of such Loan Party or any Subsidiary, or any of their respective affiliates,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Common Enterprise</w:t>
      </w:r>
      <w:r>
        <w:rPr>
          <w:rFonts w:ascii="Times New Roman" w:cs="Times New Roman" w:eastAsia="Times New Roman" w:hAnsi="Times New Roman"/>
          <w:sz w:val="18"/>
          <w:szCs w:val="18"/>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(i) successful operations of each of the other Loan Parties and (ii) the credit extended by the Lenders to the Borrower hereunder, both in their separate capacities and as members of the group of companies. Each Loan Party has determined that execution, delivery, and performance of this Agreement and any other Loan Documents to be executed by such Loan Party is within its purpose, in furtherance of its direct and/or indirect business interests, will be of direct and/or indirect benefit to such Loan Party, and is in its best interest.</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9120" w:type="dxa"/>
            <w:vAlign w:val="bottom"/>
            <w:gridSpan w:val="7"/>
          </w:tcPr>
          <w:p>
            <w:pPr>
              <w:jc w:val="center"/>
              <w:ind w:right="2060"/>
              <w:spacing w:after="0"/>
              <w:rPr>
                <w:sz w:val="20"/>
                <w:szCs w:val="20"/>
                <w:color w:val="auto"/>
              </w:rPr>
            </w:pPr>
            <w:r>
              <w:rPr>
                <w:rFonts w:ascii="Times New Roman" w:cs="Times New Roman" w:eastAsia="Times New Roman" w:hAnsi="Times New Roman"/>
                <w:sz w:val="18"/>
                <w:szCs w:val="18"/>
                <w:color w:val="auto"/>
                <w:w w:val="99"/>
              </w:rPr>
              <w:t>Not an Affected Financial Institution. No Loan Party is an Affected Financial Institution.</w:t>
            </w:r>
          </w:p>
        </w:tc>
      </w:tr>
      <w:tr>
        <w:trPr>
          <w:trHeight w:val="453"/>
        </w:trPr>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140" w:type="dxa"/>
            <w:vAlign w:val="bottom"/>
            <w:gridSpan w:val="2"/>
          </w:tcPr>
          <w:p>
            <w:pPr>
              <w:jc w:val="center"/>
              <w:ind w:right="5080"/>
              <w:spacing w:after="0"/>
              <w:rPr>
                <w:sz w:val="20"/>
                <w:szCs w:val="20"/>
                <w:color w:val="auto"/>
              </w:rPr>
            </w:pPr>
            <w:r>
              <w:rPr>
                <w:rFonts w:ascii="Times New Roman" w:cs="Times New Roman" w:eastAsia="Times New Roman" w:hAnsi="Times New Roman"/>
                <w:sz w:val="18"/>
                <w:szCs w:val="18"/>
                <w:color w:val="auto"/>
                <w:w w:val="98"/>
              </w:rPr>
              <w:t>ARTICLE IV</w:t>
            </w:r>
          </w:p>
        </w:tc>
      </w:tr>
      <w:tr>
        <w:trPr>
          <w:trHeight w:val="391"/>
        </w:trPr>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CONDITIONS</w:t>
            </w:r>
          </w:p>
        </w:tc>
        <w:tc>
          <w:tcPr>
            <w:tcW w:w="5060" w:type="dxa"/>
            <w:vAlign w:val="bottom"/>
          </w:tcPr>
          <w:p>
            <w:pPr>
              <w:spacing w:after="0"/>
              <w:rPr>
                <w:sz w:val="24"/>
                <w:szCs w:val="24"/>
                <w:color w:val="auto"/>
              </w:rPr>
            </w:pPr>
          </w:p>
        </w:tc>
      </w:tr>
      <w:tr>
        <w:trPr>
          <w:trHeight w:val="412"/>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Conditions to Initial Loans. The obligations of the Lenders to make Loans and of the Issuing Banks to issue Letters of</w:t>
            </w:r>
          </w:p>
        </w:tc>
      </w:tr>
      <w:tr>
        <w:trPr>
          <w:trHeight w:val="20"/>
        </w:trPr>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Credit hereunder shall not become effective until each of the conditions precedent to the Amendment and Restatement Effective Date set forth in Section 4 of the Amendment and Restatement are satisfied.</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6" w:name="page87"/>
    <w:bookmarkEnd w:id="86"/>
    <w:p>
      <w:pPr>
        <w:ind w:left="660"/>
        <w:spacing w:after="0"/>
        <w:tabs>
          <w:tab w:leader="none" w:pos="254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 The obligation of each Lender to make any Loan, and of the Issuing Banks to issue or increase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of Credit, is subject to the satisfaction of the following conditions:</w:t>
      </w:r>
    </w:p>
    <w:p>
      <w:pPr>
        <w:spacing w:after="0" w:line="207" w:lineRule="exact"/>
        <w:rPr>
          <w:sz w:val="20"/>
          <w:szCs w:val="20"/>
          <w:color w:val="auto"/>
        </w:rPr>
      </w:pPr>
    </w:p>
    <w:p>
      <w:pPr>
        <w:jc w:val="both"/>
        <w:ind w:firstLine="1304"/>
        <w:spacing w:after="0" w:line="258" w:lineRule="auto"/>
        <w:tabs>
          <w:tab w:leader="none" w:pos="199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Borrower set forth in this Agreement shall be true and correct in all material respects on and as of the date of such Loan or the date of issuance or increase of such Letter of Credit, as applicable, except that (i) to the extent that such representations and warranties specifically refer to an earlier date, such representations and warranties shall be true and correct in all material respects as of such earlier date, (ii) any representation and warranty that is qualified as to “materiality” or “Material Adverse Effect” shall be true and correct in all respects.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19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such Loan or the issuance or increase of such Letter of Credit, as applicable, no Default shall have occurred and be continuing.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Each Loan and each issuance or increase of a Letter of Credit shall be deemed to constitute a representation and warranty by the Borrower on the date thereof as to the matters specified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Until the Commitments have expired or been terminated and the principal of and interest on each Loan and all fees payable hereunder shall have been paid in full and all Letters of Credit shall have expired or terminated or been cash collateralized and all LC Disbursements shall have been reimbursed (or cash collateralized on terms reasonably acceptable to the Administrative Agent), each Loan Party executing this Agreement covenants and agrees, jointly and severally with all of the Loan Parties, with the Lenders that:</w:t>
      </w:r>
    </w:p>
    <w:p>
      <w:pPr>
        <w:spacing w:after="0" w:line="180" w:lineRule="exact"/>
        <w:rPr>
          <w:sz w:val="20"/>
          <w:szCs w:val="20"/>
          <w:color w:val="auto"/>
        </w:rPr>
      </w:pPr>
    </w:p>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7"/>
          <w:szCs w:val="17"/>
          <w:u w:val="single" w:color="auto"/>
          <w:color w:val="auto"/>
        </w:rPr>
        <w:t>Financial Statements and Other Information</w:t>
      </w:r>
      <w:r>
        <w:rPr>
          <w:rFonts w:ascii="Times New Roman" w:cs="Times New Roman" w:eastAsia="Times New Roman" w:hAnsi="Times New Roman"/>
          <w:sz w:val="17"/>
          <w:szCs w:val="17"/>
          <w:color w:val="auto"/>
        </w:rPr>
        <w:t>. The Borrower will furnish to the Administrative Agent and each Lender:</w:t>
      </w:r>
    </w:p>
    <w:p>
      <w:pPr>
        <w:spacing w:after="0" w:line="225" w:lineRule="exact"/>
        <w:rPr>
          <w:sz w:val="20"/>
          <w:szCs w:val="20"/>
          <w:color w:val="auto"/>
        </w:rPr>
      </w:pPr>
    </w:p>
    <w:p>
      <w:pPr>
        <w:jc w:val="both"/>
        <w:ind w:firstLine="1304"/>
        <w:spacing w:after="0" w:line="254" w:lineRule="auto"/>
        <w:tabs>
          <w:tab w:leader="none" w:pos="195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after the end of each fiscal year of the Borrower, (i) its audited consolidated balance sheet and related statements of operations, stockholders’ equity and cash flows as of the end of and for such year, setting forth in each case in comparative form the figures for the previous fiscal year, all reported on by Deloitte and Touche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 and (ii) unaudited consolidating balance sheets and related statements of operations, stockholders’ equity and cash flows as of the end of and for such year, certified by one of the Borrower’s Financial Officers as presenting fairly in all material respects the financial condition and results of operations of the Borrower and its consolidated Subsidiaries on a consolidating basis in accordance with GAAP;</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8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after the end of each of the first three fiscal quarters of each fiscal year of the Borrower,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1304"/>
        <w:spacing w:after="0" w:line="256" w:lineRule="auto"/>
        <w:tabs>
          <w:tab w:leader="none" w:pos="22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any delivery of financial statements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 certificate of a Financial Officer of the Borrower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 certifying as to whether a Default has occurred and, if a Default has occurred, specifying the details thereof and any action taken or proposed to be taken with respect thereto, (ii) setting forth reasonably detailed calculations demonstrating compliance with the Financial Covenants and compliance with </w:t>
      </w:r>
      <w:r>
        <w:rPr>
          <w:rFonts w:ascii="Times New Roman" w:cs="Times New Roman" w:eastAsia="Times New Roman" w:hAnsi="Times New Roman"/>
          <w:sz w:val="18"/>
          <w:szCs w:val="18"/>
          <w:u w:val="single" w:color="auto"/>
          <w:color w:val="auto"/>
        </w:rPr>
        <w:t>Sections 6.04(c)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(iii) stating whether any change in GAAP or in the application thereof has occurred since the later of December 31, 2021 and the end date of the financial statements most recently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and, if any such change has occurred, specifying the effect of such change on the financial statements accompanying such certificate;</w:t>
      </w:r>
    </w:p>
    <w:p>
      <w:pPr>
        <w:spacing w:after="0" w:line="187"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6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sixty (60) days after the start of each fiscal year of the Borrower, a copy of the plan and forecast (including a projected consolidated balance sheet, income statement and funds flow statement) of the Borrower for each month of such fiscal year (the “</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in form reasonably satisfactory to the Administrative Agent;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45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periodic and other reports, proxy statements and other materials filed by the Borrower or any Subsidiary with the Securities and Exchange Commission, or any Governmental Authority succeeding to any or all of the functions of said Commission, or with any national securities exchange, or distributed by the Borrower to its shareholders generally, as the case may be;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44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such other information regarding the operations, business affairs and financial condition of the Borrower or any Subsidiary, or compliance with the terms of this Agreement, as the Administrative Agent or any Lender may reasonably request;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7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information and documentation reasonably requested by the Administrative Agent and/or any Lender for purposes of compliance with applicable “know your customer” requirements under the PATRIOT Act or other applicable anti-money laundering laws.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(x) the Borrower shall be deemed to have complied with the terms of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applicable, with respect to the financial statements required to be delivered pursuant thereto if the Borrower delivers to the Administrative Agent and the Lenders, within the same time frame required under the Securities Act and the rules and regulations of the Securities Exchange Commission its annual report on Form 10-K for the applicable fiscal year or its quarterly report in Form 10-Q for the applicable fiscal quarter, respectively, that it has filed with the Securities and Exchange Commission, and (y) any documents required to be delivered pursuant to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shall be deemed to have been delivered on the date on which the Borrower provides notice to the Administrative Agent that such information has been posted on the Borrower’s website on the Internet (with such notice containing the link thereto), or posted on Borrower’s behalf on IntraLinks/IntraAgency or another relevant website, if any, to which each Lender and the Administrative Agent have access (whether a commercial, third-party website or whether sponsored by the Administrative Agent).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5.02</w:t>
            </w:r>
          </w:p>
        </w:tc>
        <w:tc>
          <w:tcPr>
            <w:tcW w:w="680" w:type="dxa"/>
            <w:vAlign w:val="bottom"/>
          </w:tcPr>
          <w:p>
            <w:pPr>
              <w:spacing w:after="0"/>
              <w:rPr>
                <w:sz w:val="18"/>
                <w:szCs w:val="18"/>
                <w:color w:val="auto"/>
              </w:rPr>
            </w:pPr>
          </w:p>
        </w:tc>
        <w:tc>
          <w:tcPr>
            <w:tcW w:w="8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Notices of Material Events. The Borrower will furnish to the Administrative Agent and each Lender prompt written</w:t>
            </w:r>
          </w:p>
        </w:tc>
      </w:tr>
      <w:tr>
        <w:trPr>
          <w:trHeight w:val="237"/>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notice of the following:</w:t>
            </w:r>
          </w:p>
        </w:tc>
        <w:tc>
          <w:tcPr>
            <w:tcW w:w="68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c>
          <w:tcPr>
            <w:tcW w:w="6580" w:type="dxa"/>
            <w:vAlign w:val="bottom"/>
          </w:tcPr>
          <w:p>
            <w:pPr>
              <w:spacing w:after="0"/>
              <w:rPr>
                <w:sz w:val="20"/>
                <w:szCs w:val="20"/>
                <w:color w:val="auto"/>
              </w:rPr>
            </w:pPr>
          </w:p>
        </w:tc>
      </w:tr>
      <w:tr>
        <w:trPr>
          <w:trHeight w:val="432"/>
        </w:trPr>
        <w:tc>
          <w:tcPr>
            <w:tcW w:w="20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w:t>
            </w:r>
          </w:p>
        </w:tc>
        <w:tc>
          <w:tcPr>
            <w:tcW w:w="9240" w:type="dxa"/>
            <w:vAlign w:val="bottom"/>
            <w:gridSpan w:val="3"/>
          </w:tcPr>
          <w:p>
            <w:pPr>
              <w:jc w:val="right"/>
              <w:ind w:right="6820"/>
              <w:spacing w:after="0"/>
              <w:rPr>
                <w:sz w:val="20"/>
                <w:szCs w:val="20"/>
                <w:color w:val="auto"/>
              </w:rPr>
            </w:pPr>
            <w:r>
              <w:rPr>
                <w:rFonts w:ascii="Times New Roman" w:cs="Times New Roman" w:eastAsia="Times New Roman" w:hAnsi="Times New Roman"/>
                <w:sz w:val="18"/>
                <w:szCs w:val="18"/>
                <w:color w:val="auto"/>
              </w:rPr>
              <w:t>the occurrence of any Default;</w:t>
            </w:r>
          </w:p>
        </w:tc>
      </w:tr>
      <w:tr>
        <w:trPr>
          <w:trHeight w:val="648"/>
        </w:trPr>
        <w:tc>
          <w:tcPr>
            <w:tcW w:w="200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gridSpan w:val="3"/>
          </w:tcPr>
          <w:p>
            <w:pPr>
              <w:jc w:val="right"/>
              <w:ind w:right="5520"/>
              <w:spacing w:after="0"/>
              <w:rPr>
                <w:sz w:val="20"/>
                <w:szCs w:val="20"/>
                <w:color w:val="auto"/>
              </w:rPr>
            </w:pPr>
            <w:r>
              <w:rPr>
                <w:rFonts w:ascii="Times New Roman" w:cs="Times New Roman" w:eastAsia="Times New Roman" w:hAnsi="Times New Roman"/>
                <w:sz w:val="18"/>
                <w:szCs w:val="18"/>
                <w:color w:val="auto"/>
              </w:rPr>
              <w:t>62</w:t>
            </w:r>
          </w:p>
        </w:tc>
      </w:tr>
    </w:tbl>
    <w:p>
      <w:pPr>
        <w:sectPr>
          <w:pgSz w:w="11900" w:h="16838" w:orient="portrait"/>
          <w:cols w:equalWidth="0" w:num="1">
            <w:col w:w="11240"/>
          </w:cols>
          <w:pgMar w:left="320" w:top="904" w:right="339" w:bottom="1440" w:gutter="0" w:footer="0" w:header="0"/>
        </w:sectPr>
      </w:pPr>
    </w:p>
    <w:bookmarkStart w:id="88" w:name="page89"/>
    <w:bookmarkEnd w:id="88"/>
    <w:p>
      <w:pPr>
        <w:ind w:firstLine="1304"/>
        <w:spacing w:after="0" w:line="282" w:lineRule="auto"/>
        <w:tabs>
          <w:tab w:leader="none" w:pos="226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or commencement of any action, suit or proceeding by or before any arbitrator or Governmental Authority against or affecting the Borrower or any Affiliate thereof that, if adversely determined, could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56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that, alone or together with any other ERISA Events that have occurred, could reasonably be expected to result in liability of the Borrower and its Subsidiaries in an aggregate amount exceeding $5 million;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33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(or such longer period as the Administrative Agent may agree) after the occurrence thereof, any Loan Party entering into a Swap Agreement or an amendment to a Swap Agreement, in each case, to the extent such Swap Agreement relates to Secured Swap Obligations, together with copies of all agreements evidencing such Swap Agreement or amendment; and</w:t>
      </w:r>
    </w:p>
    <w:p>
      <w:pPr>
        <w:spacing w:after="0" w:line="175" w:lineRule="exact"/>
        <w:rPr>
          <w:rFonts w:ascii="Times New Roman" w:cs="Times New Roman" w:eastAsia="Times New Roman" w:hAnsi="Times New Roman"/>
          <w:sz w:val="18"/>
          <w:szCs w:val="18"/>
          <w:color w:val="auto"/>
        </w:rPr>
      </w:pPr>
    </w:p>
    <w:p>
      <w:pPr>
        <w:ind w:left="2220" w:hanging="916"/>
        <w:spacing w:after="0"/>
        <w:tabs>
          <w:tab w:leader="none" w:pos="22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development that results in, or could reasonably be expected to result in, a Material Adverse Effect.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Each notice delivered under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(other than clause (d) above)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xml:space="preserve">. Each Loan Party will, and will cause each Subsidiary to, (a)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(b) carry on and conduct its business in substantially the same manner and in substantially the same fields of enterprise as it is presently conducted or in fields which are, in the good faith judgment of the Board of Directors, similar, complimentary or substantially related thereto or are reasonable extensions thereof.</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Each Loan Party will, and will cause each Subsidiary to, pay or discharge all material Taxes, before the same shall become delinquent or in default, except where (a) the validity or amount thereof is being contested in good faith by appropriate proceedings,</w:t>
      </w:r>
    </w:p>
    <w:p>
      <w:pPr>
        <w:ind w:firstLine="8"/>
        <w:spacing w:after="0" w:line="260" w:lineRule="auto"/>
        <w:tabs>
          <w:tab w:leader="none" w:pos="26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Party or such Subsidiary has set aside on its books adequate reserves with respect thereto in accordance with GAAP and (c) the failure to make payment pending such contest could not reasonably be expected to result in a Material Adverse Effect.</w:t>
      </w:r>
    </w:p>
    <w:p>
      <w:pPr>
        <w:spacing w:after="0" w:line="181" w:lineRule="exact"/>
        <w:rPr>
          <w:sz w:val="20"/>
          <w:szCs w:val="20"/>
          <w:color w:val="auto"/>
        </w:rPr>
      </w:pPr>
    </w:p>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5.05</w:t>
      </w:r>
      <w:r>
        <w:rPr>
          <w:sz w:val="20"/>
          <w:szCs w:val="20"/>
          <w:color w:val="auto"/>
        </w:rPr>
        <w:tab/>
      </w:r>
      <w:r>
        <w:rPr>
          <w:rFonts w:ascii="Times New Roman" w:cs="Times New Roman" w:eastAsia="Times New Roman" w:hAnsi="Times New Roman"/>
          <w:sz w:val="17"/>
          <w:szCs w:val="17"/>
          <w:u w:val="single" w:color="auto"/>
          <w:color w:val="auto"/>
        </w:rPr>
        <w:t>Maintenance of Properties; Insurance; Casualty and Condemnation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237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will, and will cause each Subsidiary to, (i) keep and maintain all property material to the conduct of its business in good working order and condition, ordinary wear and tear excepted, and (ii)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4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Books and Records; Inspection Rights</w:t>
      </w:r>
      <w:r>
        <w:rPr>
          <w:rFonts w:ascii="Times New Roman" w:cs="Times New Roman" w:eastAsia="Times New Roman" w:hAnsi="Times New Roman"/>
          <w:sz w:val="18"/>
          <w:szCs w:val="18"/>
          <w:color w:val="auto"/>
        </w:rPr>
        <w:t xml:space="preserve">. Each Loan Party will, and will cause each Subsidiary to, (i) keep proper books of record and account in which full, true and correct entries are made of all dealings and transactions in relation to its business and activities and (ii) permit any representatives designated by the Administrative Agent (or following any Event of Default, any Lender)(including employees of the Administrative Agent, such Lender or any consultants, accountants, lawyers, appraisers and field examiners retained by the Administrative Agent),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reimburse the Administrative Agent or any Lender for the cost of more than one such visit during any year, except during the occurrence and continuation of an Event of Default. The Loan Parties acknowledge that the Administrative Agent, after exercising its rights of inspection, may prepare and distribute to the Lenders certain reports pertaining to the Loan Parties’ assets for internal use by the Administrative Agent and the Lenders. Notwithstanding anything to the contrary in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neither the Borrower nor any other Loan Party will be required to disclose, permit the inspection, examination or making copies or abstracts of, or discussion of, any document, information or other matter in respect of which disclosure to the Administrative Agent or any Lender (or their respective representatives or contractors) is prohibited by applicable law or any binding agreement (not entered into in contemplation of any request for disclosure or otherwise to evade the disclosure requirements contained in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or is subject to attorney client privilege or that constitutes attorney work product (in each case, as determined in good faith by legal counsel to any Loan Party and not in contemplation of any request for disclosure or otherwise to evade the disclosure requirements contained in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it being understood that the Borrower shall use its commercially reasonable efforts to communicate any requested information in a way that would not violate the applicable law or agreement or waive the applicable privilege.</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Each Loan Party will, and will cause each Subsidiary to, comply with all Requirements of Law applicable to it or its property, except where the failure to do so, individually or in the aggregate, could not reasonably be expected to result in a Material Adverse Effect.</w:t>
      </w:r>
    </w:p>
    <w:p>
      <w:pPr>
        <w:spacing w:after="0" w:line="176" w:lineRule="exact"/>
        <w:rPr>
          <w:sz w:val="20"/>
          <w:szCs w:val="20"/>
          <w:color w:val="auto"/>
        </w:rPr>
      </w:pPr>
    </w:p>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5.08</w:t>
      </w:r>
      <w:r>
        <w:rPr>
          <w:sz w:val="20"/>
          <w:szCs w:val="20"/>
          <w:color w:val="auto"/>
        </w:rPr>
        <w:tab/>
      </w: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47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Loans will be used after the Amendment and Restatement Effective Date for working capital and general corporate purposes including Permitted Acquisitions; it being understood and agreed that any Existing Loans shall be subject to a cashless settlement mechanism and other purchases and sales of interests in such Loans among the Lenders whereby the Borrower shall be deemed to have borrowed from all or certain of the Lenders and/or prepaid Loans of all or certain of the Lenders such that, after giving effect thereto, the Loans (including, without limitation, the Types and Interest Periods thereof) shall be held by the Lenders ratably in accordance with their respective Commitments. No part of the proceeds of any Loan and no Letter of Credit will be used, whether directly or indirectly, for any purpose that entails a violation of any of the Regulations of the Board, including Regulations T, U and X.</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230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request any Borrowing or Letter of Credit, and the Borrower shall not use, and shall procure that its Subsidiaries and its and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 (including any Person participating in the Loans, whether as Administrative Agent, Lead Arranger, Issuing Bank, Lender, underwriter, advisor, investor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5.09</w:t>
      </w:r>
      <w:r>
        <w:rPr>
          <w:sz w:val="20"/>
          <w:szCs w:val="20"/>
          <w:color w:val="auto"/>
        </w:rPr>
        <w:tab/>
      </w:r>
      <w:r>
        <w:rPr>
          <w:rFonts w:ascii="Times New Roman" w:cs="Times New Roman" w:eastAsia="Times New Roman" w:hAnsi="Times New Roman"/>
          <w:sz w:val="17"/>
          <w:szCs w:val="17"/>
          <w:u w:val="single" w:color="auto"/>
          <w:color w:val="auto"/>
        </w:rPr>
        <w:t>Additional Collateral; Further Assurances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228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the Borrower and each other Loan Party shall cause each of its wholly-owned Material Domestic Subsidiaries formed or acquired on or after the date of this Agreement in accordance with the terms of this Agreement to become a Loan Party, within 30 days (or such later date as the Administrative Agent may agree) after the date of such formation or acquisition, by executing the Joinder Agreement set forth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Upon execution and delivery thereof, each such Person shall automatically become a Loan Guarantor hereunder and thereupon shall have all of the rights, benefits, duties, and obligations in such capacity under the Loan Documents.</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246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the Borrower and other Loan Party shall cause each of its wholly-owned Material Domestic Subsidiaries formed or acquired after the date of this Agreement in accordance with the terms of this Agreement and each Subsidiary who hereafter becomes a Material Domestic Subsidiary, in each case, within 30 days (or such later date as the Administrative Agent may agree) after the date of such formation or acquisition (or after the date on which such Subsidiary becomes a Material Domestic Subsidiary, as applicable) to execute a joinder to the Security Agreement, pursuant to which such Material Domestic Subsidiary shall grant Liens to the Administrative Agent, for the benefit of the Administrative Agent and the Lenders, in any property of such Loan Party which constitutes Collateral.</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226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Borrower and each other Material Domestic Subsidiary will cause (i) 100% of the issued and outstanding Equity Interests of each of its domestic Subsidiaries and (ii) 65% of the issued and outstanding Equity Interests entitled to vote (within the meaning of Treas. Reg. Section 1.956-2(c)(2)) and 100% of the issued and outstanding Equity Interests not entitled to vote (within the meaning of Treas. Reg. Section 1.956-2(c)(2)) in each Material Foreign Subsidiary (including any Subsidiary who becomes a Material Foreign Subsidiary after the Amendment and Restatement Effective Date) directly owned by the Borrower or any Material Domestic Subsidiary to be subject at all times to a first priority, perfected Lien in favor of the Administrative Agent pursuant to the terms and conditions of the Loan Documents or other security documents as the Administrative Agent shall reasonably request.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229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each Loan Party will, and will cause each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as applicable), which may be required by law or which the Administrative Agent may, from time to time, reasonably request to carry out the terms and conditions of this Agreement and the other Loan Documents and, to the extent required by the Security Agreement, to ensure perfection and priority of the Liens created or intended to be created by the Collateral Documents, all at the expense of the Loan Parties.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 xml:space="preserve"> Each Loan Party shall implement and maintain in effect policies and procedures designed to promote compliance by such Loan Party, its Subsidiaries and their respective directors, officers, employees and agents with Anti-Corruption Laws and applicable Sanctions.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Until the Commitments have expired or terminated and the principal of and interest on each Loan and all fees, expenses and other amounts payable under any Loan Document have been paid in full and all Letters of Credit have expired or terminated or been cash collateralized and all LC Disbursements shall have been reimbursed (or cash collateralized on terms reasonably acceptable to the Administrative Agent), the Loan Parties covenant and agree, jointly and severally, with the Lenders that:</w:t>
      </w:r>
    </w:p>
    <w:p>
      <w:pPr>
        <w:spacing w:after="0" w:line="180"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No Loan Party will, nor will it permit any Subsidiary to, create, incur or suffer to exist any Indebtedness,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w:t>
      </w:r>
    </w:p>
    <w:p>
      <w:pPr>
        <w:spacing w:after="0" w:line="207" w:lineRule="exact"/>
        <w:rPr>
          <w:sz w:val="20"/>
          <w:szCs w:val="20"/>
          <w:color w:val="auto"/>
        </w:rPr>
      </w:pPr>
    </w:p>
    <w:p>
      <w:pPr>
        <w:ind w:left="2220" w:hanging="916"/>
        <w:spacing w:after="0"/>
        <w:tabs>
          <w:tab w:leader="none" w:pos="22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Obligations;</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234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date hereof and set forth in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and extensions, renewals and replacements of any such Indebtedness that do not increase the outstanding principal amount thereof;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33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to any Subsidiary and of any Subsidiary to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Indebtedness of any Subsidiary that is not a Loan Party to the Borrower or to any Subsidiary that is a Loan Party shall be subject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and</w:t>
      </w:r>
    </w:p>
    <w:p>
      <w:pPr>
        <w:jc w:val="both"/>
        <w:ind w:firstLine="8"/>
        <w:spacing w:after="0" w:line="255" w:lineRule="auto"/>
        <w:tabs>
          <w:tab w:leader="none" w:pos="26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to any Subsidiary and Indebtedness of any Subsidiary that is a Loan Party to any Subsidiary that is not a Loan Party shall be subordinated to the Secured Obligations in accordance with the terms set forth on Schedule 1.01 or otherwise on terms reasonably satisfactory to the Administrative Agent;</w:t>
      </w:r>
    </w:p>
    <w:p>
      <w:pPr>
        <w:spacing w:after="0" w:line="18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34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the Borrower of Indebtedness of any Subsidiary and by any Subsidiary of Indebtedness of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Indebtedness so Guaranteed is permitted by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(ii) Guarantees by the Borrower or any Subsidiary that is a Loan Party of Indebtedness of any Subsidiary that is not a Loan Party shall be subject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and (iii) Guarantees permitted under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shall be subordinated to the Obligations on the same terms as the Indebtedness so Guaranteed is subordinated to the Obligations;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240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or any Subsidiary incurred to finance the acquisition, construction or improvement of any fixed or capital assets (whether or not constituting purchase money Indebtedness), including Capital Lease Obligations and any Indebtedness assumed in connection with the acquisition (including by way of any Permitted Acquisition) of any such assets or secured by a Lien on any such assets prior to the acquisition thereof, and extensions, renewals and replacements of any such Indebtedness in accordance with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incurred prior to or within 90 days after such acquisition or the completion of such construction or improvement and (ii) the aggregate principal amount of Indebtedness permitted by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(including any refinancing thereof permitted by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shall not exceed $20 million at any time outstanding;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ind w:left="2280" w:hanging="976"/>
        <w:spacing w:after="0"/>
        <w:tabs>
          <w:tab w:leader="none" w:pos="22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which represents an extension, refinancing, or renewal of any of the Indebtedness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72" w:val="left"/>
        </w:tabs>
        <w:numPr>
          <w:ilvl w:val="0"/>
          <w:numId w:val="9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the aggregate principal amount of such Indebtedness does not exceed the principal amount of such Indebtedness being refinancing plus the amount of any interest, premiums or penalties required to be paid plus fees and expenses associated therewith, (ii) any Liens securing such Indebtedness are not extended to any additional property of any Loan Party, (iii) no Loan Party that is not originally obligated (or required to become obligated) with respect to repayment of such Indebtedness is required to become obligated with respect thereto, (iv) such extension, refinancing or renewal does not result in a shortening of the average weighted maturity of the Indebtedness so extended, refinanced or renewed, (v) the terms of any such extension, refinancing, or renewal are not materially less favorable to the obligor thereunder than the original terms of such Indebtedness, taken as a whole, and (vi) if the Indebtedness that is refinanced, renewed, or extended was subordinated in right of payment to the Secured Obligations, then the terms and conditions of the refinancing, renewal, or extension Indebtedness must include subordination terms and conditions that are at least as favorable to the Administrative Agent and the Lenders as those that were applicable to the refinanced, renewed, or extended Indebtedness;</w:t>
      </w:r>
    </w:p>
    <w:p>
      <w:pPr>
        <w:spacing w:after="0" w:line="193" w:lineRule="exact"/>
        <w:rPr>
          <w:rFonts w:ascii="Times New Roman" w:cs="Times New Roman" w:eastAsia="Times New Roman" w:hAnsi="Times New Roman"/>
          <w:sz w:val="18"/>
          <w:szCs w:val="18"/>
          <w:u w:val="single" w:color="auto"/>
          <w:color w:val="auto"/>
        </w:rPr>
      </w:pPr>
    </w:p>
    <w:p>
      <w:pPr>
        <w:jc w:val="both"/>
        <w:ind w:firstLine="1304"/>
        <w:spacing w:after="0" w:line="266" w:lineRule="auto"/>
        <w:tabs>
          <w:tab w:leader="none" w:pos="222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25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Subsidiary in respect of performance bonds, bid bonds, appeal bonds, surety bonds and similar obligations, in each case provided in the ordinary course of business;</w:t>
      </w:r>
    </w:p>
    <w:p>
      <w:pPr>
        <w:spacing w:after="0" w:line="161" w:lineRule="exact"/>
        <w:rPr>
          <w:rFonts w:ascii="Times New Roman" w:cs="Times New Roman" w:eastAsia="Times New Roman" w:hAnsi="Times New Roman"/>
          <w:sz w:val="18"/>
          <w:szCs w:val="18"/>
          <w:color w:val="auto"/>
        </w:rPr>
      </w:pPr>
    </w:p>
    <w:p>
      <w:pPr>
        <w:ind w:left="2500" w:hanging="1196"/>
        <w:spacing w:after="0"/>
        <w:tabs>
          <w:tab w:leader="none" w:pos="25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Indebtedness of any Loan Party in an aggregate principal amount not exceeding $25 million at any time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w:t>
      </w:r>
    </w:p>
    <w:p>
      <w:pPr>
        <w:spacing w:after="0" w:line="206" w:lineRule="exact"/>
        <w:rPr>
          <w:rFonts w:ascii="Times New Roman" w:cs="Times New Roman" w:eastAsia="Times New Roman" w:hAnsi="Times New Roman"/>
          <w:sz w:val="18"/>
          <w:szCs w:val="18"/>
          <w:color w:val="auto"/>
        </w:rPr>
      </w:pPr>
    </w:p>
    <w:p>
      <w:pPr>
        <w:ind w:left="2400" w:hanging="1096"/>
        <w:spacing w:after="0"/>
        <w:tabs>
          <w:tab w:leader="none" w:pos="24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or Guarantees of the Borrower or any Subsidiary in connection with any Swap Agreement permitted under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48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customary agreements providing for indemnification, adjustment of purchase price, earnout, deferred purchase price or similar obligations in connection with acquisitions or dispositions of any business or assets by or of the Borrower or any Subsidiary permitted hereunder;</w:t>
      </w:r>
    </w:p>
    <w:p>
      <w:pPr>
        <w:spacing w:after="0" w:line="17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entered against the Borrower or any Subsidiary to the extent not constituting an Event of Default;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33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or Guarantees incurred in the ordinary course of business in connection with cash pooling, netting and cash management arrangements consisting of overdrafts or similar arrangements, provided that any such Indebtedness is owed to the financial institutions providing such arrangements and such Indebtedness is extinguished in accordance with the terms of such arrangement;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37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foreign Subsidiaries to finance the working capital needs of such foreign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aggregate outstanding principal amount of such Indebtedness shall not exceed $20 million (or the equivalent thereof) at any time;</w:t>
      </w:r>
    </w:p>
    <w:p>
      <w:pPr>
        <w:spacing w:after="0" w:line="161"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sellers constituting consideration for Permitted Acquisitions;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49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 Person or Indebtedness attaching to assets of a Person that, in either case, becomes a Subsidiary or Indebtedness attaching to assets that are acquired by Borrower or any of its Subsidiaries, in each case as the result of a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Indebtedness existed at the time such Person became a Subsidiary or at the time such assets were acquired and, in each case, was not created in anticipation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1304"/>
        <w:spacing w:after="0" w:line="266" w:lineRule="auto"/>
        <w:tabs>
          <w:tab w:leader="none" w:pos="225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or Guarantees in an aggregate amount not exceeding $1 million consisting of reimbursement obligations owed to banks providing the Borrower or any of its Subsidiaries with backstop, letter of credit, guarantee or equivalent services in connection with its leased properties;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5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Subsidiary in connection with any Guarantees given by them, or any letters of credit or bank guarantees issued by any bank or financial institution, in favor of any Governmental Authority to secure the payment of Taxes owed by the Borrower or any Subsidiary to such Governmental Authorities;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331"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Subsidiary owed to sublessees in respect of security deposits or advances held by the Borrower or any Subsidiary in connection with the subletting to such sublessees of any leasehold interests of the Borrower or any Subsidiary;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56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Subsidiary in respect of Capital Lease Obligations incurred in connection with employee vehicle financing arrangements in India;</w:t>
      </w:r>
    </w:p>
    <w:p>
      <w:pPr>
        <w:spacing w:after="0" w:line="161" w:lineRule="exact"/>
        <w:rPr>
          <w:rFonts w:ascii="Times New Roman" w:cs="Times New Roman" w:eastAsia="Times New Roman" w:hAnsi="Times New Roman"/>
          <w:sz w:val="18"/>
          <w:szCs w:val="18"/>
          <w:color w:val="auto"/>
        </w:rPr>
      </w:pPr>
    </w:p>
    <w:p>
      <w:pPr>
        <w:ind w:left="2280" w:hanging="976"/>
        <w:spacing w:after="0"/>
        <w:tabs>
          <w:tab w:leader="none" w:pos="228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Indebtedness in an aggregate principal amount at any time outstanding not exceeding the greater of (x) $40 million or</w:t>
      </w:r>
    </w:p>
    <w:p>
      <w:pPr>
        <w:spacing w:after="0" w:line="27" w:lineRule="exact"/>
        <w:rPr>
          <w:rFonts w:ascii="Times New Roman" w:cs="Times New Roman" w:eastAsia="Times New Roman" w:hAnsi="Times New Roman"/>
          <w:sz w:val="18"/>
          <w:szCs w:val="18"/>
          <w:color w:val="auto"/>
        </w:rPr>
      </w:pPr>
    </w:p>
    <w:p>
      <w:pPr>
        <w:ind w:right="20" w:firstLine="8"/>
        <w:spacing w:after="0" w:line="260" w:lineRule="auto"/>
        <w:tabs>
          <w:tab w:leader="none" w:pos="27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EBITDA for the period of four consecutive fiscal quarters having most recently ended prior to such date of determination and for which financial statements have been delivered pursuant to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as applicable; and</w:t>
      </w:r>
    </w:p>
    <w:p>
      <w:pPr>
        <w:spacing w:after="0" w:line="18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2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unsecured Indebtedness so long as the Total Net leverage Ratio for the period of four consecutive fiscal quarters having most recently ended immediately prior to the incurrence of such Indebtedness (without netting any cash received from the incurrence thereof and assuming, in the case of any such Indebtedness in the form of revolving commitments or delayed draw term loan commitments, that such commitments are fully drawn) and for which financial statements have been delivered pursuant to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as applicable, would be no greater than 2.75 to 1.00.</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No Loan Party will,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76" w:lineRule="exact"/>
        <w:rPr>
          <w:sz w:val="20"/>
          <w:szCs w:val="20"/>
          <w:color w:val="auto"/>
        </w:rPr>
      </w:pPr>
    </w:p>
    <w:p>
      <w:pPr>
        <w:ind w:left="2220" w:hanging="916"/>
        <w:spacing w:after="0"/>
        <w:tabs>
          <w:tab w:leader="none" w:pos="22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pursuant to any Loan Document;</w:t>
      </w:r>
    </w:p>
    <w:p>
      <w:pPr>
        <w:spacing w:after="0" w:line="22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64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on any property or asset of the Borrower or any Subsidiary existing on the date hereof and set forth in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such Lien shall not apply to any other property or asset of the Borrower or such Subsidiary and (ii) such Lien shall secure only those obligations which it secures on the date hereof and extensions, renewals and replacements thereof that do not increase the outstanding principal amount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2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existing on any property or asset prior to the acquisition thereof (including by way of any Permitted Acquisition) by the Borrower or any Subsidiary or existing on any property or asset of any Person that becomes a Subsidiary after the date hereof prior to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such Lien is not created in contemplation of or in connection with such acquisition or such Person becoming a Subsidiary , as the case may be, (ii) such Lien shall not apply to any other property or assets of the Borrower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1304"/>
        <w:spacing w:after="0" w:line="258" w:lineRule="auto"/>
        <w:tabs>
          <w:tab w:leader="none" w:pos="222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fixed or capital assets acquired, constructed or improved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security interests secure Indebtedness permitted by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(t)</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(ii) such security interests and the Indebtedness secured thereby are incurred prior to or within 90 days after such acquisition or the completion of such construction or improvement, (iii) the Indebtedness secured thereby does not exceed 110% of the cost of acquiring, constructing or improving such fixed or capital assets and (iv) such security interests shall not apply to any other property or assets of the Borrower or Subsidiary;</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229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a collecting bank arising in the ordinary course of business under Section 4-208 of the Uniform Commercial Code in effect in the relevant jurisdiction covering only the items being collected upon;</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254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 Subsidiary that is not a Loan Party in favor of the Borrower or another Loan Party in respect of Indebtedness owed by such Subsidiary;</w:t>
      </w:r>
    </w:p>
    <w:p>
      <w:pPr>
        <w:spacing w:after="0" w:line="161" w:lineRule="exact"/>
        <w:rPr>
          <w:rFonts w:ascii="Times New Roman" w:cs="Times New Roman" w:eastAsia="Times New Roman" w:hAnsi="Times New Roman"/>
          <w:sz w:val="18"/>
          <w:szCs w:val="18"/>
          <w:color w:val="auto"/>
        </w:rPr>
      </w:pPr>
    </w:p>
    <w:p>
      <w:pPr>
        <w:ind w:left="2300" w:hanging="996"/>
        <w:spacing w:after="0"/>
        <w:tabs>
          <w:tab w:leader="none" w:pos="2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by operation of law under Article 2 of the Uniform Commercial Code in favor of a reclaiming seller of goods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buyer of goods;</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255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Liens, bankers’ Liens, rights of setoff and other similar Liens existing solely with respect to cash and Cash Equivalents on deposit in one or more accounts maintained by the Borrower or any Subsidiary, in each case, granted in the ordinary course of business in favor of the bank or banks with which such accounts are maintained, including any such Liens or rights of setoff securing amounts owing in the ordinary course of business to such bank with respect to cash management and operating account arrangements, including those involving pooled accounts and netting arrangements;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4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sub-licenses and other similar encumbrances incurred in the ordinary course of business that do not materially detract from the value of the property subject thereto or materially interfere with the ordinary conduct of the business of the Borrower or any Subsidiary;</w:t>
      </w:r>
    </w:p>
    <w:p>
      <w:pPr>
        <w:spacing w:after="0" w:line="161"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of foreign Subsidiaries to secure Indebtedness of such foreign Subsidiaries permitted under </w:t>
      </w:r>
      <w:r>
        <w:rPr>
          <w:rFonts w:ascii="Times New Roman" w:cs="Times New Roman" w:eastAsia="Times New Roman" w:hAnsi="Times New Roman"/>
          <w:sz w:val="18"/>
          <w:szCs w:val="18"/>
          <w:u w:val="single" w:color="auto"/>
          <w:color w:val="auto"/>
        </w:rPr>
        <w:t>Section 6.01(n)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259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or Cash Equivalents constituting earnest money deposits made by the Borrower or any Subsidiary in connection with any letter of intent or purchase agreement for a Permitted Acquisition;</w:t>
      </w:r>
    </w:p>
    <w:p>
      <w:pPr>
        <w:spacing w:after="0" w:line="161"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collateral securing the Indebtedness described in </w:t>
      </w:r>
      <w:r>
        <w:rPr>
          <w:rFonts w:ascii="Times New Roman" w:cs="Times New Roman" w:eastAsia="Times New Roman" w:hAnsi="Times New Roman"/>
          <w:sz w:val="18"/>
          <w:szCs w:val="18"/>
          <w:u w:val="single" w:color="auto"/>
          <w:color w:val="auto"/>
        </w:rPr>
        <w:t>Section 6.01(q)</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collateral of foreign Subsidiaries securing the Indebtedness described in </w:t>
      </w:r>
      <w:r>
        <w:rPr>
          <w:rFonts w:ascii="Times New Roman" w:cs="Times New Roman" w:eastAsia="Times New Roman" w:hAnsi="Times New Roman"/>
          <w:sz w:val="18"/>
          <w:szCs w:val="18"/>
          <w:u w:val="single" w:color="auto"/>
          <w:color w:val="auto"/>
        </w:rPr>
        <w:t>Section 6.01(r)</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34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collateral to secure any Swap Agreement permitted under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so long as the aggregate amount of such cash collateral does not, as of any date of determination, exceed $20 million.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ind w:left="660"/>
        <w:spacing w:after="0"/>
        <w:tabs>
          <w:tab w:leader="none" w:pos="238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221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Loan Party will, nor will it permit any Subsidiary to, merge into or consolidate with any other Person, or permit any other Person to merge into or consolidate with it, sell, transfer, lease or otherwise dispose of (in one transaction or in a series of transactions) all or substantially all of its assets, or all or substantially all of the stock of any of its Subsidiaries (in each case, whether now owned or hereafter acquired), or liquidate or dissolve, except that, if at the time thereof and immediately after giving effect thereto no Event of Default shall have occurred and be continuing (i) any Subsidiary of the Borrower may merge into the Borrower in a transaction in which the Borrower is the surviving corporation, (ii) any Subsidiary may merge into any Loan Party in a transaction in which the surviving entity is a Loan Party, (iii) any Person may merge into any Loan Party or any of its Subsidiaries in connection with a Permitted Acquisition so long as, in the case of a merger involving any Loan Party or Material Foreign Subsidiary, such Loan Party or Material Foreign Subsidiary is the surviving entity, (iv) any Subsidiary may sell, transfer, lease or otherwise dispose of its assets to the Borrower or to another Subsidiary and (v) any Subsidiary that is not a Loan Party may liquidate or dissolve if the Loan Party which owns such Subsidiary determines in good faith that such liquidation or dissolution is in the best interests of such Loan Party and is not materially disadvantageous to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merger involving a Person that is not a wholly owned Subsidiary immediately prior to such merger shall not be permitted unless also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the foregoing, each Loan Party and each of its Subsidiaries shall be permitted to enter into an agreement to effect any transaction of merger or consolidation that is not otherwise permitted under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at a future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shall be conditioned on (i) obtaining requisite approvals permitting the respective transaction (and any related financing or other transactions) in accordance with the requirements of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(ii) the satisfaction and discharge of all outstanding Obligations under this Agreement and the other Loan Documents;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agreement shall (x) not contain any provision imposing fees or damages on any Loan Party or its Subsidiary for failure to meet the conditions set forth above and (y) contain termination provisions which will provide for the termination of the agreement within a reasonable time if the conditions described in the preceding proviso have not been satisfied by such time.</w:t>
      </w:r>
    </w:p>
    <w:p>
      <w:pPr>
        <w:spacing w:after="0" w:line="189" w:lineRule="exact"/>
        <w:rPr>
          <w:sz w:val="20"/>
          <w:szCs w:val="20"/>
          <w:color w:val="auto"/>
        </w:rPr>
      </w:pPr>
    </w:p>
    <w:p>
      <w:pPr>
        <w:jc w:val="both"/>
        <w:ind w:firstLine="1304"/>
        <w:spacing w:after="0" w:line="266" w:lineRule="auto"/>
        <w:tabs>
          <w:tab w:leader="none" w:pos="240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of its Subsidiaries to, engage to any material extent in any business other than businesses of the type conducted by the Borrower and its Subsidiaries on the date of execution of this Agreement and businesses which are, in the good faith judgment of the Board of Directors, similar, complimentary or substantially related thereto or are reasonable extensions thereof.</w:t>
      </w:r>
    </w:p>
    <w:p>
      <w:pPr>
        <w:spacing w:after="0" w:line="175" w:lineRule="exact"/>
        <w:rPr>
          <w:rFonts w:ascii="Times New Roman" w:cs="Times New Roman" w:eastAsia="Times New Roman" w:hAnsi="Times New Roman"/>
          <w:sz w:val="18"/>
          <w:szCs w:val="18"/>
          <w:color w:val="auto"/>
        </w:rPr>
      </w:pPr>
    </w:p>
    <w:p>
      <w:pPr>
        <w:ind w:left="2260" w:hanging="956"/>
        <w:spacing w:after="0"/>
        <w:tabs>
          <w:tab w:leader="none" w:pos="22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change its fiscal year which currently ends on December 31 of each year.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Investments, Loans, Advances, Guarantees and Acquisitions</w:t>
      </w:r>
      <w:r>
        <w:rPr>
          <w:rFonts w:ascii="Times New Roman" w:cs="Times New Roman" w:eastAsia="Times New Roman" w:hAnsi="Times New Roman"/>
          <w:sz w:val="18"/>
          <w:szCs w:val="18"/>
          <w:color w:val="auto"/>
        </w:rPr>
        <w:t>. No Loan Party will, nor will it permit any Subsidiary to, purchase, hold or acquire (including pursuant to any merger with any Person that was not a Loan Party and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except:</w:t>
      </w:r>
    </w:p>
    <w:p>
      <w:pPr>
        <w:spacing w:after="0" w:line="183" w:lineRule="exact"/>
        <w:rPr>
          <w:sz w:val="20"/>
          <w:szCs w:val="20"/>
          <w:color w:val="auto"/>
        </w:rPr>
      </w:pPr>
    </w:p>
    <w:p>
      <w:pPr>
        <w:ind w:left="2220" w:hanging="916"/>
        <w:spacing w:after="0"/>
        <w:tabs>
          <w:tab w:leader="none" w:pos="22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and Cash Equivalents;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ind w:left="2240" w:hanging="936"/>
        <w:spacing w:after="0"/>
        <w:tabs>
          <w:tab w:leader="none" w:pos="2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existence on the date of this Agreement and described in </w:t>
      </w:r>
      <w:r>
        <w:rPr>
          <w:rFonts w:ascii="Times New Roman" w:cs="Times New Roman" w:eastAsia="Times New Roman" w:hAnsi="Times New Roman"/>
          <w:sz w:val="18"/>
          <w:szCs w:val="18"/>
          <w:u w:val="single" w:color="auto"/>
          <w:color w:val="auto"/>
        </w:rPr>
        <w:t>Schedule 6.04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243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the Borrower and its Subsidiaries in the capital stock of their respective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investments (together with the aggregate amount of loans and advances described in </w:t>
      </w:r>
      <w:r>
        <w:rPr>
          <w:rFonts w:ascii="Times New Roman" w:cs="Times New Roman" w:eastAsia="Times New Roman" w:hAnsi="Times New Roman"/>
          <w:sz w:val="18"/>
          <w:szCs w:val="18"/>
          <w:u w:val="single" w:color="auto"/>
          <w:color w:val="auto"/>
        </w:rPr>
        <w:t>Section 6.04(d)</w:t>
      </w:r>
      <w:r>
        <w:rPr>
          <w:rFonts w:ascii="Times New Roman" w:cs="Times New Roman" w:eastAsia="Times New Roman" w:hAnsi="Times New Roman"/>
          <w:sz w:val="18"/>
          <w:szCs w:val="18"/>
          <w:color w:val="auto"/>
        </w:rPr>
        <w:t>), as of any date of determination, made by the Borrower or the other Loan Parties in the capital stock of their respective Subsidiaries who are not Loan Parties does not at any time exceed an amount equal to 50% of the EBITDA for the period of four consecutive fiscal quarters having most recently ended prior to such date of determination and for which financial statements are available (with the amount of any such investments being the original cost of such investment, less all repayments, returns, dividends and distributions, in each case received in cash in respect of such investment and less all liabilities effectively assumed by a person other than any Loan Party or any Subsidiary thereof in connection with the sale of any such investment);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2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or advances made by the Borrower or any of its Subsidiaries to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loans and advances (together with the aggregate amount of investments described in </w:t>
      </w:r>
      <w:r>
        <w:rPr>
          <w:rFonts w:ascii="Times New Roman" w:cs="Times New Roman" w:eastAsia="Times New Roman" w:hAnsi="Times New Roman"/>
          <w:sz w:val="18"/>
          <w:szCs w:val="18"/>
          <w:u w:val="single" w:color="auto"/>
          <w:color w:val="auto"/>
        </w:rPr>
        <w:t>Section 6.04(c)</w:t>
      </w:r>
      <w:r>
        <w:rPr>
          <w:rFonts w:ascii="Times New Roman" w:cs="Times New Roman" w:eastAsia="Times New Roman" w:hAnsi="Times New Roman"/>
          <w:sz w:val="18"/>
          <w:szCs w:val="18"/>
          <w:color w:val="auto"/>
        </w:rPr>
        <w:t>) made by the Borrower or the other Loan Parties to Subsidiaries who are not Loan Parties that are at any time outstanding does not, as of any date of determination, exceed an amount equal to 50% of the EBITDA for the period of four consecutive fiscal quarters having most recently ended prior to such date of determination and for which financial statements are available;</w:t>
      </w:r>
    </w:p>
    <w:p>
      <w:pPr>
        <w:spacing w:after="0" w:line="183" w:lineRule="exact"/>
        <w:rPr>
          <w:rFonts w:ascii="Times New Roman" w:cs="Times New Roman" w:eastAsia="Times New Roman" w:hAnsi="Times New Roman"/>
          <w:sz w:val="18"/>
          <w:szCs w:val="18"/>
          <w:color w:val="auto"/>
        </w:rPr>
      </w:pPr>
    </w:p>
    <w:p>
      <w:pPr>
        <w:ind w:left="2220" w:hanging="916"/>
        <w:spacing w:after="0"/>
        <w:tabs>
          <w:tab w:leader="none" w:pos="22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constituting Indebtedness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4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to employees of the Borrower or any Subsidiaries in the ordinary course of business (including for travel, entertainment and relocation expenses and to finance the purchase of Equity Interests of the Borrower) in an aggregate amount for the Borrower and its Subsidiaries not to exceed $10 million at any time outstanding;</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23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in connection with the bankruptcy or reorganization of any Person or in settlement of obligations of, or disputes with, any Person arising in the ordinary course of business;</w:t>
      </w:r>
    </w:p>
    <w:p>
      <w:pPr>
        <w:spacing w:after="0" w:line="161"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Swap Agreements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Pricing Transactions;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26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extensions of credit in the nature of accounts receivable or notes receivable arising from the grant of trade credit in the ordinary course of business;</w:t>
      </w:r>
    </w:p>
    <w:p>
      <w:pPr>
        <w:spacing w:after="0" w:line="161" w:lineRule="exact"/>
        <w:rPr>
          <w:rFonts w:ascii="Times New Roman" w:cs="Times New Roman" w:eastAsia="Times New Roman" w:hAnsi="Times New Roman"/>
          <w:sz w:val="18"/>
          <w:szCs w:val="18"/>
          <w:color w:val="auto"/>
        </w:rPr>
      </w:pPr>
    </w:p>
    <w:p>
      <w:pPr>
        <w:ind w:left="2300" w:hanging="996"/>
        <w:spacing w:after="0"/>
        <w:tabs>
          <w:tab w:leader="none" w:pos="2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investments, performance guarantees of obligations of the Borrower’s Subsidiaries in the ordinary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course of business; and</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24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investments otherwise expressly permitted by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investments, loans and advances by the Borrower or any of its Subsidiaries in an aggregate amount (valued at cost) not to exceed the greater of (x) $40 million and (y) 20% of EBITDA for the period of four consecutive fiscal quarters having most recently ended prior to such date of determination and for which financial statements have been delivered pursuant to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as applicable.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7"/>
          <w:szCs w:val="17"/>
          <w:u w:val="single" w:color="auto"/>
          <w:color w:val="auto"/>
        </w:rPr>
        <w:t>Asset Dispositions; Sale and Leaseback Transactions.</w:t>
      </w:r>
    </w:p>
    <w:p>
      <w:pPr>
        <w:spacing w:after="0" w:line="225" w:lineRule="exact"/>
        <w:rPr>
          <w:sz w:val="20"/>
          <w:szCs w:val="20"/>
          <w:color w:val="auto"/>
        </w:rPr>
      </w:pPr>
    </w:p>
    <w:p>
      <w:pPr>
        <w:ind w:left="2220" w:hanging="916"/>
        <w:spacing w:after="0"/>
        <w:tabs>
          <w:tab w:leader="none" w:pos="22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Subsidiary to, make any Disposition except:</w:t>
      </w:r>
    </w:p>
    <w:p>
      <w:pPr>
        <w:spacing w:after="0" w:line="225" w:lineRule="exact"/>
        <w:rPr>
          <w:rFonts w:ascii="Times New Roman" w:cs="Times New Roman" w:eastAsia="Times New Roman" w:hAnsi="Times New Roman"/>
          <w:sz w:val="18"/>
          <w:szCs w:val="18"/>
          <w:color w:val="auto"/>
        </w:rPr>
      </w:pPr>
    </w:p>
    <w:p>
      <w:pPr>
        <w:ind w:left="2900" w:hanging="948"/>
        <w:spacing w:after="0"/>
        <w:tabs>
          <w:tab w:leader="none" w:pos="2900"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or worn out property, whether now owned or hereafter acquired, in the ordinary course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6"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(including non-exclusive licenses) of inventory in the ordinary course of business;</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919"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equipment or real property to the extent that (A) such property is exchanged for credit against the purchase price of similar replacement property or (B) the proceeds of such Disposition are reasonably promptly applied to the purchase price of such replacement property;</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827"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by Borrower to any Subsidiary and by any Subsidiary to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property is subject to any Lien under any Collateral Document prior to any such Disposition, such property shall remain subject to valid and perfected Liens under the Collateral Documents after such Disposition;</w:t>
      </w:r>
    </w:p>
    <w:p>
      <w:pPr>
        <w:spacing w:after="0" w:line="175"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permitted by </w:t>
      </w:r>
      <w:r>
        <w:rPr>
          <w:rFonts w:ascii="Times New Roman" w:cs="Times New Roman" w:eastAsia="Times New Roman" w:hAnsi="Times New Roman"/>
          <w:sz w:val="18"/>
          <w:szCs w:val="18"/>
          <w:u w:val="single" w:color="auto"/>
          <w:color w:val="auto"/>
        </w:rPr>
        <w:t>Sections 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overdue accounts receivable solely in connection with the collection or compromise thereof;</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805"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pursuant to operating leases (not in connection with any sale and leaseback transactions or other Capital Lease Obligations) entered into in the ordinary course of business;</w:t>
      </w:r>
    </w:p>
    <w:p>
      <w:pPr>
        <w:spacing w:after="0" w:line="161"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and assets subject to condemnation and casualty events;</w:t>
      </w:r>
    </w:p>
    <w:p>
      <w:pPr>
        <w:spacing w:after="0" w:line="225"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cash and Cash Equivalents in the ordinary course of business;</w:t>
      </w:r>
    </w:p>
    <w:p>
      <w:pPr>
        <w:spacing w:after="0" w:line="225" w:lineRule="exact"/>
        <w:rPr>
          <w:rFonts w:ascii="Times New Roman" w:cs="Times New Roman" w:eastAsia="Times New Roman" w:hAnsi="Times New Roman"/>
          <w:sz w:val="18"/>
          <w:szCs w:val="18"/>
          <w:color w:val="auto"/>
        </w:rPr>
      </w:pPr>
    </w:p>
    <w:p>
      <w:pPr>
        <w:ind w:left="3020" w:hanging="1068"/>
        <w:spacing w:after="0"/>
        <w:tabs>
          <w:tab w:leader="none" w:pos="3020"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by Borrower and any Subsidiary not otherwise permitted under this </w:t>
      </w:r>
      <w:r>
        <w:rPr>
          <w:rFonts w:ascii="Times New Roman" w:cs="Times New Roman" w:eastAsia="Times New Roman" w:hAnsi="Times New Roman"/>
          <w:sz w:val="18"/>
          <w:szCs w:val="18"/>
          <w:u w:val="single" w:color="auto"/>
          <w:color w:val="auto"/>
        </w:rPr>
        <w:t>Section 6.05(a)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6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of such Disposition, no Default shall exist or would result from such Disposition, and (B) the aggregate fair market value of all property Disposed of in reliance on this </w:t>
      </w:r>
      <w:r>
        <w:rPr>
          <w:rFonts w:ascii="Times New Roman" w:cs="Times New Roman" w:eastAsia="Times New Roman" w:hAnsi="Times New Roman"/>
          <w:sz w:val="18"/>
          <w:szCs w:val="18"/>
          <w:u w:val="single" w:color="auto"/>
          <w:color w:val="auto"/>
        </w:rPr>
        <w:t>subclause (x)</w:t>
      </w:r>
      <w:r>
        <w:rPr>
          <w:rFonts w:ascii="Times New Roman" w:cs="Times New Roman" w:eastAsia="Times New Roman" w:hAnsi="Times New Roman"/>
          <w:sz w:val="18"/>
          <w:szCs w:val="18"/>
          <w:color w:val="auto"/>
        </w:rPr>
        <w:t xml:space="preserve"> in any fiscal year (or in the case of any Disposition for which the fair market value cannot reasonably be determined, the aggregate purchase price therefor) shall not exceed $10 million; and</w:t>
      </w:r>
    </w:p>
    <w:p>
      <w:pPr>
        <w:spacing w:after="0" w:line="185" w:lineRule="exact"/>
        <w:rPr>
          <w:rFonts w:ascii="Times New Roman" w:cs="Times New Roman" w:eastAsia="Times New Roman" w:hAnsi="Times New Roman"/>
          <w:sz w:val="18"/>
          <w:szCs w:val="18"/>
          <w:color w:val="auto"/>
        </w:rPr>
      </w:pPr>
    </w:p>
    <w:p>
      <w:pPr>
        <w:ind w:left="2840" w:hanging="888"/>
        <w:spacing w:after="0"/>
        <w:tabs>
          <w:tab w:leader="none" w:pos="284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pursuant to any Transfer Pricing Transactions;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Disposition pursuant to </w:t>
      </w:r>
      <w:r>
        <w:rPr>
          <w:rFonts w:ascii="Times New Roman" w:cs="Times New Roman" w:eastAsia="Times New Roman" w:hAnsi="Times New Roman"/>
          <w:sz w:val="18"/>
          <w:szCs w:val="18"/>
          <w:u w:val="single" w:color="auto"/>
          <w:color w:val="auto"/>
        </w:rPr>
        <w:t>Section 6.05(a)(i)</w:t>
      </w:r>
      <w:r>
        <w:rPr>
          <w:rFonts w:ascii="Times New Roman" w:cs="Times New Roman" w:eastAsia="Times New Roman" w:hAnsi="Times New Roman"/>
          <w:sz w:val="18"/>
          <w:szCs w:val="18"/>
          <w:color w:val="auto"/>
        </w:rPr>
        <w:t xml:space="preserve"> through (a)(iii), </w:t>
      </w:r>
      <w:r>
        <w:rPr>
          <w:rFonts w:ascii="Times New Roman" w:cs="Times New Roman" w:eastAsia="Times New Roman" w:hAnsi="Times New Roman"/>
          <w:sz w:val="18"/>
          <w:szCs w:val="18"/>
          <w:u w:val="single" w:color="auto"/>
          <w:color w:val="auto"/>
        </w:rPr>
        <w:t>Section 6.05(a)(v)</w:t>
      </w:r>
      <w:r>
        <w:rPr>
          <w:rFonts w:ascii="Times New Roman" w:cs="Times New Roman" w:eastAsia="Times New Roman" w:hAnsi="Times New Roman"/>
          <w:sz w:val="18"/>
          <w:szCs w:val="18"/>
          <w:color w:val="auto"/>
        </w:rPr>
        <w:t xml:space="preserve"> (except insofar as it relates to any transaction solely between the Borrower and any Subsidiary or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6.05(a)(vi)</w:t>
      </w:r>
      <w:r>
        <w:rPr>
          <w:rFonts w:ascii="Times New Roman" w:cs="Times New Roman" w:eastAsia="Times New Roman" w:hAnsi="Times New Roman"/>
          <w:sz w:val="18"/>
          <w:szCs w:val="18"/>
          <w:color w:val="auto"/>
        </w:rPr>
        <w:t xml:space="preserve"> (except to the extent determined by the applicable Person making such Disposition in good faith to be appropriate in accordance with its usual practice), </w:t>
      </w:r>
      <w:r>
        <w:rPr>
          <w:rFonts w:ascii="Times New Roman" w:cs="Times New Roman" w:eastAsia="Times New Roman" w:hAnsi="Times New Roman"/>
          <w:sz w:val="18"/>
          <w:szCs w:val="18"/>
          <w:u w:val="single" w:color="auto"/>
          <w:color w:val="auto"/>
        </w:rPr>
        <w:t>Section 6.05(a)(vii)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6.05(a)(x)</w:t>
      </w:r>
      <w:r>
        <w:rPr>
          <w:rFonts w:ascii="Times New Roman" w:cs="Times New Roman" w:eastAsia="Times New Roman" w:hAnsi="Times New Roman"/>
          <w:sz w:val="18"/>
          <w:szCs w:val="18"/>
          <w:color w:val="auto"/>
        </w:rPr>
        <w:t xml:space="preserve"> shall be for fair market value (or, in respect of </w:t>
      </w:r>
      <w:r>
        <w:rPr>
          <w:rFonts w:ascii="Times New Roman" w:cs="Times New Roman" w:eastAsia="Times New Roman" w:hAnsi="Times New Roman"/>
          <w:sz w:val="18"/>
          <w:szCs w:val="18"/>
          <w:u w:val="single" w:color="auto"/>
          <w:color w:val="auto"/>
        </w:rPr>
        <w:t>Section 6.05(a)(x)</w:t>
      </w:r>
      <w:r>
        <w:rPr>
          <w:rFonts w:ascii="Times New Roman" w:cs="Times New Roman" w:eastAsia="Times New Roman" w:hAnsi="Times New Roman"/>
          <w:sz w:val="18"/>
          <w:szCs w:val="18"/>
          <w:color w:val="auto"/>
        </w:rPr>
        <w:t xml:space="preserve">, where the fair market value cannot reasonably be determined, such disposition shall otherwise be in accordance with the terms of </w:t>
      </w:r>
      <w:r>
        <w:rPr>
          <w:rFonts w:ascii="Times New Roman" w:cs="Times New Roman" w:eastAsia="Times New Roman" w:hAnsi="Times New Roman"/>
          <w:sz w:val="18"/>
          <w:szCs w:val="18"/>
          <w:u w:val="single" w:color="auto"/>
          <w:color w:val="auto"/>
        </w:rPr>
        <w:t>Section 6.05(a)(x)</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1304"/>
        <w:spacing w:after="0" w:line="256" w:lineRule="auto"/>
        <w:tabs>
          <w:tab w:leader="none" w:pos="230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Subsidiary to, enter into any arrangement, directly or indirectly, whereby it shall sell or transfer any owned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fixed or capital assets by any Borrower or any Subsidiary that is made for cash consideration in an amount not less than the fair market value of such fixed or capital asset and is consummated within 90 days after such Borrower or such Subsidiary acquires or completes the construction of such fixed or capital asset.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Swap Agreements</w:t>
      </w:r>
      <w:r>
        <w:rPr>
          <w:rFonts w:ascii="Times New Roman" w:cs="Times New Roman" w:eastAsia="Times New Roman" w:hAnsi="Times New Roman"/>
          <w:sz w:val="18"/>
          <w:szCs w:val="18"/>
          <w:color w:val="auto"/>
        </w:rPr>
        <w:t>. No Loan Party will, nor will it permit any Subsidiary to, enter into any Swap Agreement, except (a) Swap Agreements entered into to hedge or mitigate risks (including foreign currency exchange risks) to which the Borrower or any Subsidiary has actual or reasonably anticipated exposure (other than those in respect of Equity Interests of the Borrower or any of its Subsidiaries) and (b) Swap Agreements entered into in order to effectively cap, collar or exchange interest rates (from fixed to floating rates, from one floating rate to another floating rate or otherwise) with respect to any interest-bearing liability or investment of the Borrower or any Subsidiary.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No Loan Party will, nor will it permit any Subsidiary to, declare or make, or agree to pay or make, directly or indirectly, any Restricted Payment, or incur any obligation (contingent or otherwise) to do so, except:</w:t>
      </w:r>
    </w:p>
    <w:p>
      <w:pPr>
        <w:spacing w:after="0" w:line="162" w:lineRule="exact"/>
        <w:rPr>
          <w:sz w:val="20"/>
          <w:szCs w:val="20"/>
          <w:color w:val="auto"/>
        </w:rPr>
      </w:pPr>
    </w:p>
    <w:p>
      <w:pPr>
        <w:jc w:val="both"/>
        <w:ind w:firstLine="1304"/>
        <w:spacing w:after="0" w:line="266" w:lineRule="auto"/>
        <w:tabs>
          <w:tab w:leader="none" w:pos="240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declare and pay dividends with respect to its common stock payable solely in additional shares of its common stock, and, with respect to its preferred stock, payable solely in additional shares of such preferred stock or in shares of its common stock, and (ii) Subsidiaries may declare and pay dividends ratably with respect to their Equity Interests;</w:t>
      </w:r>
    </w:p>
    <w:p>
      <w:pPr>
        <w:spacing w:after="0" w:line="175" w:lineRule="exact"/>
        <w:rPr>
          <w:rFonts w:ascii="Times New Roman" w:cs="Times New Roman" w:eastAsia="Times New Roman" w:hAnsi="Times New Roman"/>
          <w:sz w:val="18"/>
          <w:szCs w:val="18"/>
          <w:color w:val="auto"/>
        </w:rPr>
      </w:pPr>
    </w:p>
    <w:p>
      <w:pPr>
        <w:ind w:firstLine="1304"/>
        <w:spacing w:after="0" w:line="312" w:lineRule="auto"/>
        <w:tabs>
          <w:tab w:leader="none" w:pos="2225"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limitation of the exception in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6.07</w:t>
      </w:r>
      <w:r>
        <w:rPr>
          <w:rFonts w:ascii="Times New Roman" w:cs="Times New Roman" w:eastAsia="Times New Roman" w:hAnsi="Times New Roman"/>
          <w:sz w:val="17"/>
          <w:szCs w:val="17"/>
          <w:color w:val="auto"/>
        </w:rPr>
        <w:t>, so long as the Total Net Leverage Ratio is less than 2.50 to 1.00 after giving effect thereto, and no Event of Default has occurred and is continuing, other Restricted Payments paid to shareholders of the Borrower;</w:t>
      </w:r>
    </w:p>
    <w:p>
      <w:pPr>
        <w:spacing w:after="0" w:line="139" w:lineRule="exact"/>
        <w:rPr>
          <w:rFonts w:ascii="Times New Roman" w:cs="Times New Roman" w:eastAsia="Times New Roman" w:hAnsi="Times New Roman"/>
          <w:sz w:val="17"/>
          <w:szCs w:val="17"/>
          <w:color w:val="auto"/>
        </w:rPr>
      </w:pPr>
    </w:p>
    <w:p>
      <w:pPr>
        <w:ind w:firstLine="1304"/>
        <w:spacing w:after="0" w:line="282" w:lineRule="auto"/>
        <w:tabs>
          <w:tab w:leader="none" w:pos="244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paid in cash to shareholders of the Borrower, whether in connection with a share buyback plan or otherwise in an amount not to exceed $150,000,000 for any calendar year, so long as no Event of Default has occurred and is continuing;</w:t>
      </w:r>
    </w:p>
    <w:p>
      <w:pPr>
        <w:spacing w:after="0" w:line="161" w:lineRule="exact"/>
        <w:rPr>
          <w:rFonts w:ascii="Times New Roman" w:cs="Times New Roman" w:eastAsia="Times New Roman" w:hAnsi="Times New Roman"/>
          <w:sz w:val="18"/>
          <w:szCs w:val="18"/>
          <w:color w:val="auto"/>
        </w:rPr>
      </w:pPr>
    </w:p>
    <w:p>
      <w:pPr>
        <w:ind w:left="2480" w:hanging="1176"/>
        <w:spacing w:after="0"/>
        <w:tabs>
          <w:tab w:leader="none" w:pos="24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Equity Interests to sellers of Permitted Acquisitions in satisfaction of obligations of the type described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6.01(k)</w:t>
      </w:r>
      <w:r>
        <w:rPr>
          <w:rFonts w:ascii="Times New Roman" w:cs="Times New Roman" w:eastAsia="Times New Roman" w:hAnsi="Times New Roman"/>
          <w:sz w:val="18"/>
          <w:szCs w:val="18"/>
          <w:color w:val="auto"/>
        </w:rPr>
        <w:t>; and</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67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repurchase, redeem, retire or otherwise acquire for value Equity Interests (including any stock appreciation rights in respect thereof) of the Borrower from current or former employees or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aggregate annual cash payments in respect of such repurchases, redemptions, retirements and acquisitions shall not exceed $10 million.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No Loan Party will, nor will it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such Loan Party or such Subsidiary than could be obtained on an arm’s-length basis from unrelated third parties, (b) transactions between or among the Borrower and any Subsidiary not involving any other Affiliate, (c) any Restricted Payment permitted by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(d) reasonable and customary director, officer and employee compensation (including bonuses) and other benefits (including retirement, health, stock option and other benefit plans) and indemnification arrangements, (e) Transfer Pricing Transactions, and (f) transactions described in </w:t>
      </w:r>
      <w:r>
        <w:rPr>
          <w:rFonts w:ascii="Times New Roman" w:cs="Times New Roman" w:eastAsia="Times New Roman" w:hAnsi="Times New Roman"/>
          <w:sz w:val="18"/>
          <w:szCs w:val="18"/>
          <w:u w:val="single" w:color="auto"/>
          <w:color w:val="auto"/>
        </w:rPr>
        <w:t>Schedule 6.08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 xml:space="preserve">. No Loan Party will, nor will it permit any Subsidiary to, directly or indirectly, enter into, incur or permit to exist any agreement or other arrangement that prohibits, restricts or imposes any condition upon (a) the ability of such Loan Party or any of its Subsidiaries to create, incur or permit to exist any Lien upon any of its property or assets, or (b) the ability of any Subsidiary to pay dividends or other distributions with respect to any shares of its capital stock or to make or repay loans or advances to the Borrower or any other Subsidiary or to Guarantee Indebtedness of the Borrower or any other Subsidiary; except for: (i) such encumbrances or restrictions existing under or by reason of applicable law or any Loan Document; (ii) restrictions and conditions existing on the date hereof identified on </w:t>
      </w:r>
      <w:r>
        <w:rPr>
          <w:rFonts w:ascii="Times New Roman" w:cs="Times New Roman" w:eastAsia="Times New Roman" w:hAnsi="Times New Roman"/>
          <w:sz w:val="18"/>
          <w:szCs w:val="18"/>
          <w:u w:val="single" w:color="auto"/>
          <w:color w:val="auto"/>
        </w:rPr>
        <w:t>Schedule 6.09</w:t>
      </w:r>
      <w:r>
        <w:rPr>
          <w:rFonts w:ascii="Times New Roman" w:cs="Times New Roman" w:eastAsia="Times New Roman" w:hAnsi="Times New Roman"/>
          <w:sz w:val="18"/>
          <w:szCs w:val="18"/>
          <w:color w:val="auto"/>
        </w:rPr>
        <w:t xml:space="preserve"> (but not including any extension or renewal of, or any amendment or modification expanding the scope of, any such restriction or condition); (iii) customary restrictions and conditions contained in agreements relating to the sale of a Subsidiary or other property pending such sale, provided such restrictions and conditions apply only to the Subsidiary or other property that is to be sold and such sale is permitted hereunder; (iv) restrictions or conditions imposed by any agreement relating to secured Indebtedness permitted by this Agreement if such restrictions or conditions apply only to the property or assets securing such Indebtedness; (v) customary provisions in leases and other contracts restricting the assignment thereof; (vi) customary restrictions contained in any software licenses; (vii) without affecting the Loan Parties’ obligations under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customary provisions in the organizational documents of a Person or asset sale or stock sale agreements or similar agreements which restrict the transfer of ownership in such Person; (viii) in the case of any joint venture permitted hereunder with a Person that is not a Loan Party, restrictions in such Person’s organizational documents or pursuant to any joint venture agreement or stockholders agreement solely to the extent of the Equity Interests of or property held in the subject joint venture; (ix) restrictions imposed by any holder of a Lien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restricting the transfer of the property subject thereto; (x) without affecting the Loan Parties’ obligations under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any agreement in effect at the time a Person becomes a Subsidiary of the Borrower (including any amendments thereto that are otherwise permitted by the Loan Documents and that are no more materially restrictive with respect to such encumbrances and restrictions than those prior to such amendment or refinancing), so long as such agreement was not entered into in connection with or in contemplation of such person becoming a Subsidiary of Borrower and imposes restrictions only on such Person and its assets; (xi) restrictions on cash or other deposits required by suppliers or landlords under contracts entered into in the ordinary course of business; or (xii) without affecting the Loan Parties’ obligations under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restrictions imposed solely on foreign Subsidiaries pursuant to any Swap Agreement entered into by the Borrower or any Subsidiary and permitted pursuant to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Amendment of Material Documents</w:t>
      </w:r>
      <w:r>
        <w:rPr>
          <w:rFonts w:ascii="Times New Roman" w:cs="Times New Roman" w:eastAsia="Times New Roman" w:hAnsi="Times New Roman"/>
          <w:sz w:val="18"/>
          <w:szCs w:val="18"/>
          <w:color w:val="auto"/>
        </w:rPr>
        <w:t>. No Loan Party will, nor will it permit any Subsidiary to, amend, modify or waive any of its rights under its certificate of incorporation, by-laws, operating, management or partnership agreement or other organizational documents, to the extent, any such amendment, modification or waiver would be materially adverse to the Lenders as reasonably determined by the Administrative Agent.</w:t>
      </w:r>
    </w:p>
    <w:p>
      <w:pPr>
        <w:spacing w:after="0" w:line="176" w:lineRule="exact"/>
        <w:rPr>
          <w:sz w:val="20"/>
          <w:szCs w:val="20"/>
          <w:color w:val="auto"/>
        </w:rPr>
      </w:pPr>
    </w:p>
    <w:p>
      <w:pPr>
        <w:ind w:left="660"/>
        <w:spacing w:after="0"/>
        <w:tabs>
          <w:tab w:leader="none" w:pos="242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7"/>
          <w:szCs w:val="17"/>
          <w:u w:val="single" w:color="auto"/>
          <w:color w:val="auto"/>
        </w:rPr>
        <w:t>Financial Covenants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241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The Borrower will not permit the Interest Coverage Ratio, determined for the four consecutive fiscal quarter period ending on the last day of each fiscal quarter, to be less than 3.00 to 1.00.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1304"/>
        <w:spacing w:after="0" w:line="252" w:lineRule="auto"/>
        <w:tabs>
          <w:tab w:leader="none" w:pos="230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Total Net Leverage Ratio</w:t>
      </w:r>
      <w:r>
        <w:rPr>
          <w:rFonts w:ascii="Times New Roman" w:cs="Times New Roman" w:eastAsia="Times New Roman" w:hAnsi="Times New Roman"/>
          <w:sz w:val="18"/>
          <w:szCs w:val="18"/>
          <w:color w:val="auto"/>
        </w:rPr>
        <w:t xml:space="preserve">. The Borrower will not permit the Total Net Leverage Ratio, determined for the four consecutive fiscal quarter period ending on the last day of each fiscal quarter, to be greater than 3.50 to 1.00. Notwithstanding the foregoing, the Company shall be permitted, in no event on more than two occasions after the Amendment and Restatement Effective Date and prior to the Maturity Date, to allow the maximum Total Net Leverage Ratio permitted under this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 xml:space="preserve"> to be increased to 4.00:1.00 for a period of four consecutive fiscal quarters (such period, an “</w:t>
      </w:r>
      <w:r>
        <w:rPr>
          <w:rFonts w:ascii="Times New Roman" w:cs="Times New Roman" w:eastAsia="Times New Roman" w:hAnsi="Times New Roman"/>
          <w:sz w:val="18"/>
          <w:szCs w:val="18"/>
          <w:u w:val="single" w:color="auto"/>
          <w:color w:val="auto"/>
        </w:rPr>
        <w:t>Adjusted Covenant Period</w:t>
      </w:r>
      <w:r>
        <w:rPr>
          <w:rFonts w:ascii="Times New Roman" w:cs="Times New Roman" w:eastAsia="Times New Roman" w:hAnsi="Times New Roman"/>
          <w:sz w:val="18"/>
          <w:szCs w:val="18"/>
          <w:color w:val="auto"/>
        </w:rPr>
        <w:t xml:space="preserve">”) in connection with a Qualifying Material Acquisition occurring during the first of such four fiscal quarters (and in respect of which the Borrower shall provide notice in writing to the Administrative Agent (for distribution to the Lenders) of such increase), so long as the Borrower is in compliance on a pro forma basis with the maximum Total Net Leverage Ratio of 4:00:1:00 on the closing date of such Qualifying Material Acquisition immediately after giving effect (including pro forma effect) to such Qualifying Material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it is understood and agreed that (x) the Borrower may not elect a new Adjusted Covenant Period for at least three fiscal quarters following the end of an Adjusted Covenant Period and</w:t>
      </w:r>
    </w:p>
    <w:p>
      <w:pPr>
        <w:spacing w:after="0" w:line="6" w:lineRule="exact"/>
        <w:rPr>
          <w:rFonts w:ascii="Times New Roman" w:cs="Times New Roman" w:eastAsia="Times New Roman" w:hAnsi="Times New Roman"/>
          <w:sz w:val="18"/>
          <w:szCs w:val="18"/>
          <w:color w:val="auto"/>
        </w:rPr>
      </w:pPr>
    </w:p>
    <w:p>
      <w:pPr>
        <w:ind w:firstLine="8"/>
        <w:spacing w:after="0" w:line="260" w:lineRule="auto"/>
        <w:tabs>
          <w:tab w:leader="none" w:pos="27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maximum Total Net Leverage Ratio permitted under this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 xml:space="preserve"> shall revert to 3.50:1:00 following the end of such Adjusted Covenant Period and thereafter until another Adjusted Covenant Period (if any) is elected pursuant to the terms and conditions described above.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 following events (each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occur and be continuing:</w:t>
      </w:r>
    </w:p>
    <w:p>
      <w:pPr>
        <w:spacing w:after="0" w:line="225" w:lineRule="exact"/>
        <w:rPr>
          <w:sz w:val="20"/>
          <w:szCs w:val="20"/>
          <w:color w:val="auto"/>
        </w:rPr>
      </w:pPr>
    </w:p>
    <w:p>
      <w:pPr>
        <w:ind w:firstLine="1304"/>
        <w:spacing w:after="0" w:line="282" w:lineRule="auto"/>
        <w:tabs>
          <w:tab w:leader="none" w:pos="222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9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fail to pay any interest on any Loan or any fee or any other amount (other than an amount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payable under this Agreement, when and as the same shall become due and payable, and such failure shall continue unremedied for a period of five Business Days;</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55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representation or warranty made or deemed made by or on behalf of any Loan Party or any Subsidiary in or in connection with this Agreement or any Loan Document or any amendment or modification thereof or waiver thereunder, or in any report, certificate, financial statement or other document furnished pursuant to or in connection with this Agreement or any Loan Document or any amendment or modification thereof or waiver thereunder, shall prove to have been materially incorrect when made or deemed made (unless, in the case of any such representation and warranty made pursuant to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of this Agreement or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the Security Agreement, such misstatement was made with respect to Collateral having a book value not exceeding $2 million);</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240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Party shall fail to observe or perform any covenant, condition or agreement contained in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5.03</w:t>
      </w:r>
      <w:r>
        <w:rPr>
          <w:rFonts w:ascii="Times New Roman" w:cs="Times New Roman" w:eastAsia="Times New Roman" w:hAnsi="Times New Roman"/>
          <w:sz w:val="18"/>
          <w:szCs w:val="18"/>
          <w:color w:val="auto"/>
        </w:rPr>
        <w:t xml:space="preserve"> (with respect to maintaining a Loan Party’s existence), </w:t>
      </w:r>
      <w:r>
        <w:rPr>
          <w:rFonts w:ascii="Times New Roman" w:cs="Times New Roman" w:eastAsia="Times New Roman" w:hAnsi="Times New Roman"/>
          <w:sz w:val="18"/>
          <w:szCs w:val="18"/>
          <w:u w:val="single" w:color="auto"/>
          <w:color w:val="auto"/>
        </w:rPr>
        <w:t>5.08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5.09(a)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5.09(b)</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36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Party shall fail to observe or perform any covenant, condition or agreement contained in this Agreement (other than those which constitute a default under another Section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and such failure shall continue unremedied for a period of 30 days after the earlier of any Loan Party’s knowledge of such breach or notice thereof from the Administrative Agent (which notice will be given at the request of any Lender) if such breach relates to terms or provisions of any other Section of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ind w:firstLine="1304"/>
        <w:spacing w:after="0" w:line="282" w:lineRule="auto"/>
        <w:tabs>
          <w:tab w:leader="none" w:pos="226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Subsidiary shall fail to make any payment (whether of principal or interest and regardless of amount) in respect of any Material Indebtedness, when and as the same shall become due and payable;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7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provided, that this clause (g) shall not apply to secured Indebtedness that becomes due as a result of the voluntary sale or transfer of the property or assets securing such Indebtedness;</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276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or other relief in respect of a Loan Party or any Material Foreign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Material Foreign Subsidiary or for a substantial part of its assets, and, in any such case, such proceeding or petition shall continue undismissed for 60 days (or 90 days in the case of any Material Foreign Subsidiary) or an order or decree approving or ordering any of the foregoing shall be entered;</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25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Party or any Material Foreign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(iii) apply for or consent to the appointment of a receiver, trustee, custodian, sequestrator, conservator or similar official for such Loan Party or Material Foreign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233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Subsidiary of any Loan Party shall become unable, admit in writing its inability or fail generally to pay its debts as they become due;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3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for the payment of money in an aggregate amount in excess of $10 million (not paid or fully covered by insurance company as to which the relevant insurance company has acknowledged coverage) shall be rendered against any Loan Party, any Subsidiary of any Loan Party or any combination thereof and the same shall remain undischarged for a period of 30 consecutive days during which execution shall not be effectively stayed, or any action shall be legally taken by a judgment creditor to attach or levy upon any assets of any Loan Party or any Subsidiary of any Loan Party to enforce any such judgment;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47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when taken together with all other ERISA Events that have occurred, could reasonably be expected to result in aggregate liability of the Borrower and its Subsidiaries in excess of $10 million;</w:t>
      </w:r>
    </w:p>
    <w:p>
      <w:pPr>
        <w:spacing w:after="0" w:line="161"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occur;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firstLine="1304"/>
        <w:spacing w:after="0" w:line="282" w:lineRule="auto"/>
        <w:tabs>
          <w:tab w:leader="none" w:pos="23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as defined in any Loan Document (other than this Agreement) or the breach of any of the terms or provisions of any Loan Document (other than this Agreement), which default or breach continues beyond any period of grace therein provided;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44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Guaranty shall fail to remain in full force or effect or any action shall be taken to discontinue or to assert the invalidity or unenforceability of the Loan Guaranty or any Loan Guarantor shall deny that it has any further liability under the Loan Guaranty to which it is a party, or shall give notice to such effect;</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50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Collateral Document shall for any reason fail to create a valid and perfected first priority security interest in any Collateral purported to be covered thereby (other than with respect to Collateral having a book value not exceeding $2 million), except (A) as permitted by the terms of any Collateral Document or other Loan Document or (B) as a result of the Administrative Agent’s failure to (1) maintain possession of any stock certificates, promissory notes or other instruments delivered to it under the Collateral Documents, or (2) file Uniform Commercial Code continuation statements, (ii) any material provision of any Collateral Document shall fail to remain in full force or effect or (iii) any action shall be taken to discontinue or to assert the invalidity or unenforceability of any Collateral Document; or</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5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 of any Loan Document for any reason ceases to be valid, binding and enforceable in accordance with its terms (or any Loan Party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then, and in every such event (other than an event with respect to the Borrower described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or (i)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the Borrower described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Upon the occurrence and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ADMINISTRATIVE AGENT</w:t>
      </w:r>
    </w:p>
    <w:p>
      <w:pPr>
        <w:spacing w:after="0" w:line="225" w:lineRule="exact"/>
        <w:rPr>
          <w:sz w:val="20"/>
          <w:szCs w:val="20"/>
          <w:color w:val="auto"/>
        </w:rPr>
      </w:pPr>
    </w:p>
    <w:p>
      <w:pPr>
        <w:ind w:left="66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of the Lenders, on behalf of itself and any of its Affiliates that are Secured Parties and the Issuing</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Banks hereby 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 In addition, to the extent required under the laws of any jurisdiction other than the U.S., each of the Lenders and the Issuing Bank hereby grants to the Administrative Agent any required powers of attorney to execute any Collateral Document governed by the laws of such jurisdiction on such Lender’s or Issuing Bank’s behalf.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solely for the benefit of the Administrative Agent and the Lenders (including the Issuing Bank), and the Loan Parties shall not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Loan Parties or any Subsidiary of a Loan Party or other Affiliate thereof as if it were not the Administrative Agent hereunder.</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Duties and Obligations</w:t>
      </w:r>
      <w:r>
        <w:rPr>
          <w:rFonts w:ascii="Times New Roman" w:cs="Times New Roman" w:eastAsia="Times New Roman" w:hAnsi="Times New Roman"/>
          <w:sz w:val="18"/>
          <w:szCs w:val="18"/>
          <w:color w:val="auto"/>
        </w:rPr>
        <w:t xml:space="preserve">. 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and (c) except as expressly set forth in the Loan Documents, the Administrative Agent shall not have any duty to disclose, and shall not be liable for the failure to disclose, any information relating to any Loan Party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in the absence of its own gross negligence or willful misconduct as determined by a final nonappealable judgment of a court of competent jurisdiction.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(v) the creation, perfection or priority of Liens on the Collateral or the existence of the Collateral, or (vi)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in any Loan Document, other than to confirm receipt of items expressly required to be delivered to the Administrative Agent. None of the Lenders or other Persons identified on the facing page or signature pages of this Agreement as a “syndication agent,” “documentation agent,” “lead arranger,” “bookrunner” or other similar term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Actions through Sub-Agents</w:t>
      </w:r>
      <w:r>
        <w:rPr>
          <w:rFonts w:ascii="Times New Roman" w:cs="Times New Roman" w:eastAsia="Times New Roman" w:hAnsi="Times New Roman"/>
          <w:sz w:val="18"/>
          <w:szCs w:val="18"/>
          <w:color w:val="auto"/>
        </w:rPr>
        <w:t>. The Administrative Agent may perform any and all of its duties and exercise its rights and powers by or through any one or more sub-agents appointed by the Administrative Agent. The Administrative Agent and any such sub-agent may perform any and all of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xml:space="preserve">. Subject to the appointment and acceptance of a successor Administrative Agent as provided in this paragraph, the Administrative Agent may resign at any time by notifying the Lenders, the Issuing Banks and the Borrower. Upon any such resignation, the Required Lenders shall have the right,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Banks, appoint a successor Administrative Agent which shall be a commercial bank or an Affiliate of any such commercial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and under the other Loan Documents. The fees payable by the Borrower to a successor Administrative Agent shall be the same as those payable to its predecessor, unless otherwise agreed by the Borrower and such successor. Notwithstanding the foregoing,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(a) the retiring Administrative Agent shall be discharged from its duties and obligations hereunder and under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in the case of any Collateral in the possession of the Administrative Agent, shall continue to hold such Collateral, in each case until such time as a successor Administrative Agent is appointed and accepts such appointment in accordance with this paragraph (it being understood and agreed that the retiring Administrative Agent shall have no duty or obligation to take any further action under any Collateral Document, including any action required to maintain the perfection of any such security interest), and (b) the Required Lenders shall succeed to and become vested with all the rights, powers, privileges and duties of the retiring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all payments required to be made hereunder or under any other Loan Document to the Administrative Agent for the account of any Person other than the Administrative Agent shall be made directly to such Person and (ii) all notices and other communications required or contemplated to be given or made to the Administrative Agent shall also directly be given or made to each Lender and each Issuing Bank. Following the effectiveness of the Administrative Agent’s resignation from its capacity as such,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2.17(d)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it was acting as Administrative Agent and in respect of the matters referred to in the proviso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8.07</w:t>
      </w:r>
      <w:r>
        <w:rPr>
          <w:sz w:val="20"/>
          <w:szCs w:val="20"/>
          <w:color w:val="auto"/>
        </w:rPr>
        <w:tab/>
      </w:r>
      <w:r>
        <w:rPr>
          <w:rFonts w:ascii="Times New Roman" w:cs="Times New Roman" w:eastAsia="Times New Roman" w:hAnsi="Times New Roman"/>
          <w:sz w:val="17"/>
          <w:szCs w:val="17"/>
          <w:u w:val="single" w:color="auto"/>
          <w:color w:val="auto"/>
        </w:rPr>
        <w:t>Non-Reliance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241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and agrees that the extensions of credit made hereunder are commercial loans and letters of credit and not investments in a business enterprise or securities. Each Lender further represents that it is engaged in making, acquiring or holding commercial loans in the ordinary course of its business and has, independently and without reliance upon the Administrative Agent or any other Lender and based on such documents and information as it has deemed appropriate, made its own credit analysis and decision to enter into this Agreement as a Lender, and to make, acquire or hold Loans hereunder. Each Lender shall, independently and without reliance upon the Administrative Agent or any other Lender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any related agreement or any document furnished hereunder or thereunder and in deciding whether or to the extent to which it will continue as a Lender or assign or otherwise transfer its rights, interests and obligations hereunder.</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23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8.08</w:t>
      </w:r>
      <w:r>
        <w:rPr>
          <w:sz w:val="20"/>
          <w:szCs w:val="20"/>
          <w:color w:val="auto"/>
        </w:rPr>
        <w:tab/>
      </w:r>
      <w:r>
        <w:rPr>
          <w:rFonts w:ascii="Times New Roman" w:cs="Times New Roman" w:eastAsia="Times New Roman" w:hAnsi="Times New Roman"/>
          <w:sz w:val="17"/>
          <w:szCs w:val="17"/>
          <w:u w:val="single" w:color="auto"/>
          <w:color w:val="auto"/>
        </w:rPr>
        <w:t>Not Partners or Co-Venturers; Administrative Agent as Representative of the Secured Parties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248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2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capacity, the Administrative Agent is a “representative” of the Secured Parties within the meaning of the term “secured party” as defined in the New York Uniform Commercial Code. Each Lender (and other Secured Party by its acceptance of the benefits of the Loan Documents) authorizes the Administrative Agent to enter into each of the Collateral Documents to which it is a party and to take all action contemplated by such documents. Each Lender (and other Secured Party by its acceptance of the benefits of the Loan Documents) agrees that no Secured Party (other than the Administrative Agent) shall have the right individually to seek to realize upon the security granted by any Collateral Document, it being understood and agreed that such rights and remedies may be exercised solely by the Administrative Agent for the benefit of the Secured Parties upon the terms of the Collateral Documents.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Lenders Not Subject to ERISA</w:t>
      </w:r>
      <w:r>
        <w:rPr>
          <w:rFonts w:ascii="Times New Roman" w:cs="Times New Roman" w:eastAsia="Times New Roman" w:hAnsi="Times New Roman"/>
          <w:sz w:val="18"/>
          <w:szCs w:val="18"/>
          <w:color w:val="auto"/>
        </w:rPr>
        <w:t>. Each Lender as of the Amendment and Restatement Effective Date represents and warrants to the Administrative Agent, the Lead Arrangers and their respective Affiliates, and not, for the avoidance of doubt, for the benefit of the Borrower or any other Loan Party, that such Lender is not and will not be (a) an employee benefit plan subject to Title I of ERISA, (b) a plan or account subject to Section 4975 of the Code; (c) an entity deemed to hold “plan assets” of any such plans or accounts for purposes of ERISA or the Code; or (d) a “governmental plan” within the meaning of ERISA.</w:t>
      </w:r>
    </w:p>
    <w:p>
      <w:pPr>
        <w:spacing w:after="0" w:line="183" w:lineRule="exact"/>
        <w:rPr>
          <w:sz w:val="20"/>
          <w:szCs w:val="20"/>
          <w:color w:val="auto"/>
        </w:rPr>
      </w:pPr>
    </w:p>
    <w:p>
      <w:pPr>
        <w:ind w:left="66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8.10</w:t>
      </w:r>
      <w:r>
        <w:rPr>
          <w:sz w:val="20"/>
          <w:szCs w:val="20"/>
          <w:color w:val="auto"/>
        </w:rPr>
        <w:tab/>
      </w:r>
      <w:r>
        <w:rPr>
          <w:rFonts w:ascii="Times New Roman" w:cs="Times New Roman" w:eastAsia="Times New Roman" w:hAnsi="Times New Roman"/>
          <w:sz w:val="17"/>
          <w:szCs w:val="17"/>
          <w:u w:val="single" w:color="auto"/>
          <w:color w:val="auto"/>
        </w:rPr>
        <w:t>Erroneous Payment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241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notifies a Lender, Issuing Bank or Secured Party, or any Person who has received funds on behalf of a Lender, Issuing Bank or Secured Party such Lender or Issuing Bank (any such Lender, Issuing Bank, Secured Party or other recipient,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Bank,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firstLine="1304"/>
        <w:spacing w:after="0" w:line="254" w:lineRule="auto"/>
        <w:tabs>
          <w:tab w:leader="none" w:pos="229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Lender, Issuing Bank or Secured Party, or any Person who has received funds on behalf of a Lender, Issuing Bank or Secured Party such Lender or Issuing Bank,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in each case:</w:t>
      </w:r>
    </w:p>
    <w:p>
      <w:pPr>
        <w:spacing w:after="0" w:line="19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97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 the case of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18"/>
          <w:szCs w:val="18"/>
          <w:u w:val="single" w:color="auto"/>
          <w:color w:val="auto"/>
        </w:rPr>
        <w:t>clause</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in each case, with respect to such payment, prepayment or repayment; and</w:t>
      </w:r>
    </w:p>
    <w:p>
      <w:pPr>
        <w:spacing w:after="0" w:line="206"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303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Issuing Bank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8"/>
          <w:szCs w:val="18"/>
          <w:u w:val="single" w:color="auto"/>
          <w:color w:val="auto"/>
        </w:rPr>
        <w:t>Section 8.10(b)</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4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from any source, against any amount due to the Administrative Agent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under the indemnification provisions of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firstLine="1304"/>
        <w:spacing w:after="0" w:line="251" w:lineRule="auto"/>
        <w:tabs>
          <w:tab w:leader="none" w:pos="23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 Erroneous Payment (or portion thereof) is not recovered by the Administrative Agent for any reason, after demand therefor by the Administrative Agent in accordance with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from any Lender or Issuing Bank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upon the Administrative Agent’s notice to such Lender or Issuing Lender at any time, (i) such Lender or Issuing Bank shall be deemed to have assigned its Loans (but not its Commitments) of the relevant Class with respect to which such Erroneous Payment was made (the “</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an Electronic System as to which the Administrative Agent and such parties are participants) with respect to such Erroneous Payment Deficiency Assignment, and such Lender or Issuing Bank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Bank or Secured Party under the Loan Documents with respect to each Erroneous Payment Return Deficiency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w:t>
      </w:r>
    </w:p>
    <w:p>
      <w:pPr>
        <w:spacing w:after="0" w:line="20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5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36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6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Syndication Agents and Documentation Agents</w:t>
      </w:r>
      <w:r>
        <w:rPr>
          <w:rFonts w:ascii="Times New Roman" w:cs="Times New Roman" w:eastAsia="Times New Roman" w:hAnsi="Times New Roman"/>
          <w:sz w:val="18"/>
          <w:szCs w:val="18"/>
          <w:color w:val="auto"/>
        </w:rPr>
        <w:t>. Each Lender hereby designates JPMorgan Chase Bank, N.A., and Bank of America, N.A. as Syndication Agents and Documentation Agents and agrees that the Syndication Agents and Documentation Agents shall have no duties or obligations under any Loan Documents to any Lender or any Loan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640"/>
        <w:spacing w:after="0"/>
        <w:tabs>
          <w:tab w:leader="none" w:pos="214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firstLine="1304"/>
        <w:spacing w:after="0" w:line="266" w:lineRule="auto"/>
        <w:tabs>
          <w:tab w:leader="none" w:pos="189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notices and other communications expressly permitted to be given by telephone or Electronic Systems (and subject in each case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fax, as follows:</w:t>
      </w:r>
    </w:p>
    <w:p>
      <w:pPr>
        <w:spacing w:after="0" w:line="175" w:lineRule="exact"/>
        <w:rPr>
          <w:rFonts w:ascii="Times New Roman" w:cs="Times New Roman" w:eastAsia="Times New Roman" w:hAnsi="Times New Roman"/>
          <w:sz w:val="18"/>
          <w:szCs w:val="18"/>
          <w:color w:val="auto"/>
        </w:rPr>
      </w:pPr>
    </w:p>
    <w:p>
      <w:pPr>
        <w:ind w:left="2640" w:hanging="708"/>
        <w:spacing w:after="0"/>
        <w:tabs>
          <w:tab w:leader="none" w:pos="26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Loan Party, to the Borrower at:</w:t>
      </w:r>
    </w:p>
    <w:p>
      <w:pPr>
        <w:spacing w:after="0" w:line="22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280 Park Avenue, 38th Floor</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Attention: Ajay Ayyappan, Esq., SVP, General Counsel &amp; Corporate Secretary</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E-mail Address: ajay.ayyappan@exlservice.com</w:t>
      </w:r>
    </w:p>
    <w:p>
      <w:pPr>
        <w:spacing w:after="0" w:line="20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McGuireWoods LLP</w:t>
      </w:r>
    </w:p>
    <w:p>
      <w:pPr>
        <w:spacing w:after="0" w:line="2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Two Embarcadero Center, Suite 1300</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Attention: Brian Coughlan</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E-mail Address: bcoughlan@mcguirewoods.com</w:t>
      </w:r>
    </w:p>
    <w:p>
      <w:pPr>
        <w:spacing w:after="0" w:line="207" w:lineRule="exact"/>
        <w:rPr>
          <w:sz w:val="20"/>
          <w:szCs w:val="20"/>
          <w:color w:val="auto"/>
        </w:rPr>
      </w:pPr>
    </w:p>
    <w:p>
      <w:pPr>
        <w:ind w:left="2640" w:hanging="708"/>
        <w:spacing w:after="0"/>
        <w:tabs>
          <w:tab w:leader="none" w:pos="2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or to Citi, in its capacity as Issuing Bank, to Citibank, N.A. at:</w:t>
      </w:r>
    </w:p>
    <w:p>
      <w:pPr>
        <w:spacing w:after="0" w:line="22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388 Greenwich Street, 26th Floor</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Attention: Linda Tam</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 xml:space="preserve">E-mail Address: </w:t>
      </w:r>
      <w:r>
        <w:rPr>
          <w:rFonts w:ascii="Times New Roman" w:cs="Times New Roman" w:eastAsia="Times New Roman" w:hAnsi="Times New Roman"/>
          <w:sz w:val="18"/>
          <w:szCs w:val="18"/>
          <w:u w:val="single" w:color="auto"/>
          <w:color w:val="auto"/>
        </w:rPr>
        <w:t>Linda.tam@citi.com</w:t>
      </w:r>
    </w:p>
    <w:p>
      <w:pPr>
        <w:spacing w:after="0" w:line="20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Weil, Gotshal &amp; Manges LLP</w:t>
      </w:r>
    </w:p>
    <w:p>
      <w:pPr>
        <w:spacing w:after="0" w:line="2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767 Fifth Avenue</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Attention: Justin Lee</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E-mail Address: Justin.D.Lee@weil.com</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Fax Number: (212) 310-8007</w:t>
      </w:r>
    </w:p>
    <w:p>
      <w:pPr>
        <w:spacing w:after="0" w:line="207" w:lineRule="exact"/>
        <w:rPr>
          <w:sz w:val="20"/>
          <w:szCs w:val="20"/>
          <w:color w:val="auto"/>
        </w:rPr>
      </w:pPr>
    </w:p>
    <w:p>
      <w:pPr>
        <w:ind w:left="5520" w:right="1340" w:hanging="3588"/>
        <w:spacing w:after="0" w:line="783" w:lineRule="auto"/>
        <w:tabs>
          <w:tab w:leader="none" w:pos="265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it at its address or fax number set forth in its Administrative Questionnaire.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1120" w:right="339" w:bottom="1440" w:gutter="0" w:footer="0" w:header="0"/>
        </w:sectPr>
      </w:pPr>
    </w:p>
    <w:bookmarkStart w:id="110" w:name="page111"/>
    <w:bookmarkEnd w:id="110"/>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All such notices and other communications (i) sent by hand or overnight courier service, or mailed by certified or registered mail, shall be deemed to have been given when received, (ii) sent by fax shall be deemed to have been given when 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not given during normal business hours of the recipient, such notice or communication shall be deemed to have been given at the opening of business on the next Business Day for the recipient or (iii) delivered through Electronic Systems to the extent provided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304"/>
        <w:spacing w:after="0" w:line="253" w:lineRule="auto"/>
        <w:tabs>
          <w:tab w:leader="none" w:pos="19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the Lenders hereunder may be delivered or furnished by Electronic Systems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to compliance and no Event of Default certificates delivered pursuant to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xml:space="preserve"> unless otherwise agreed by the Administrative Agent and the applicable Lender. Each of the Administrative Agent and the Borrower (on behalf of the Loan Parties) may, in its discretion, agree to accept notices and other communications to it hereunder by Electronic Systems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Unless the Administrative Agent otherwise proscribes,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8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its address, fax number or e-mail address for notices and other communications hereunder by notice to the other parties hereto.</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Systems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7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68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have any liability to the Borrower or the other Loan Parties, any Lender, the Issuing Bank or any other Person or entity for damages of any kind, including direct or indirect, special, incidental or consequential damages, losses or expenses (whether in tort, contract or otherwise) arising out of the Borrower’s, any Loan Party’s, or the Administrative Agent’s transmission of communications through an Electronic System.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means, collectively, any notice, demand, communication, information, document or other material provided by or on behalf of any Loan Party pursuant to any Loan Document or the transactions contemplated therein which is distributed by the Administrative Agent, any Lender or the Issuing Bank by means of electronic communications pursuant to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including through an Electronic System.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7"/>
          <w:szCs w:val="17"/>
          <w:u w:val="single" w:color="auto"/>
          <w:color w:val="auto"/>
        </w:rPr>
        <w:t>Waivers; Amendments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86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88" w:lineRule="exact"/>
        <w:rPr>
          <w:rFonts w:ascii="Times New Roman" w:cs="Times New Roman" w:eastAsia="Times New Roman" w:hAnsi="Times New Roman"/>
          <w:sz w:val="18"/>
          <w:szCs w:val="18"/>
          <w:color w:val="auto"/>
        </w:rPr>
      </w:pPr>
    </w:p>
    <w:p>
      <w:pPr>
        <w:jc w:val="both"/>
        <w:ind w:firstLine="1304"/>
        <w:spacing w:after="0" w:line="251" w:lineRule="auto"/>
        <w:tabs>
          <w:tab w:leader="none" w:pos="199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(with respect to any commitment increase), neither this Agreement nor any other Loan Document nor any provision hereof or thereof may be waived, amended or modified except (i) in the case of this Agreement, pursuant to an agreement or agreements in writing entered into by the Borrower and the Required Lenders or, (ii) in the case of any other Loan Document, pursuant to an agreement or agreements in writing entered into by the Administrative Agent and the Loan Party or Loan Parties that are parties thereto,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the Commitment of any Lender without the written consent of such Lender (including any such Lender that is a Defaulting Lender), (ii)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(iv) change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or (d) in a manner that would alter the manner in which payments are shared, without the written consent of each Lender (other than any Defaulting Lender), (v) change any of the provisions of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(other than any Defaulting Lender) directly affected thereby, (vi) change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without the consent of each Lender (other than any Defaulting Lender), (vii) release any Loan Guarantor from its obligation under its Loan Guaranty (except as otherwise permitted herein or in the other Loan Documents), without the written consent of each Lender (other than any Defaulting Lender), (ix) except as provided in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in any Collateral Document, release all or substantially all of the Collateral, without the written consent of each Lender, (x) increase the aggregate Commitments in excess of $600 million, without the written consent of each Lender or (xi) subordinate the Liens on all or substantially all the value of the Collateral to the Liens securing any other Indebtedness, or contractually subordinate with respect to payment any Obligations, without the written consent of each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agreement shall amend, modify or otherwise affect the rights or duties of the Administrative Agent or the Issuing Banks hereunder without the prior written consent of the Administrative Agent or the Issuing Banks, as the case may be (it being understood that any change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shall require the consent of the Administrative Agent and the Issuing Banks). The Administrative Agent may also amend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to reflect assignments entered into pursuant to </w:t>
      </w:r>
      <w:r>
        <w:rPr>
          <w:rFonts w:ascii="Times New Roman" w:cs="Times New Roman" w:eastAsia="Times New Roman" w:hAnsi="Times New Roman"/>
          <w:sz w:val="18"/>
          <w:szCs w:val="18"/>
          <w:u w:val="single" w:color="auto"/>
          <w:color w:val="auto"/>
        </w:rPr>
        <w:t>Section 9.04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1304"/>
        <w:spacing w:after="0" w:line="252" w:lineRule="auto"/>
        <w:tabs>
          <w:tab w:leader="none" w:pos="187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hereby irrevocably authorize the Administrative Agent, at its option and in its sole discretion, to release any Liens granted to the Administrative Agent by the Loan Parties on any Collateral (i) upon the termination of the all Commitments, payment and satisfaction in full in cash of all Secured Obligations (other than Unliquidated Obligations), and the cash collateralization of all Unliquidated Obligations in a manner satisfactory to each affected Lender,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 of a Subsidiary, the Administrative Agent is authorized to release any Loan Guaranty provided by such Subsidiary,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Except as provided in the preceding sentence, the Administrative Agent will not release any Liens on Collateral without the prior written authorization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Administrative Agent may, in its discretion, release its Liens on Collateral valued in the aggregate not in excess of $1 million during any calendar year without the prior written authorization of the Required Lenders (it being agreed that the Administrative Agent may rely conclusively on one or more certificates of the Borrower as to the value of any Collateral to be so released, 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9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6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then the Borrower may elect to replace a Non-Consenting Lender as a Lender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concurrently with such replacement, (i) another bank or other entity which is reasonably satisfactory to the Borrower,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(2) an amount, if any, equal to the payment which would have been due to such Lender on the day of such replacement under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had the Loans of such Non-Consenting Lender been prepaid on such date rather than sold to the replacement Lender.</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189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Administrative Agent may, with the consent of the Borrower only, amend, modify or supplement this Agreement or any of the other Loan Documents to cure any ambiguity, omission, mistake, defect or inconsistency.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7"/>
          <w:szCs w:val="17"/>
          <w:u w:val="single" w:color="auto"/>
          <w:color w:val="auto"/>
        </w:rPr>
        <w:t>Expenses; Indemnity; Damage Waiver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87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pay (i) all reasonable and documented out-of-pocket expenses incurred by the Administrative Agent and its Affiliates, including the reasonable fees, charges and disbursements of outside counsel for the Administrative Agent, in connection with the syndication and distribution (including, without limitation, via the internet or through an Electronic System) of the credit facilities provided for herein, the preparation and administration of the Loan Documents or any amendments, modifications or waivers of the provisions of the Loan Documents (whether or not the transactions contemplated hereby or thereby shall be consummated), (ii) all reasonable and documented out-of-pocket expenses incurred by any Issuing Bank in connection with the issuance, amendment, renewal or extension of any Letter of Credit or any demand for payment thereunder and (iii) all documented out-of-pocket expenses incurred by the Administrative Agent, any Issuing Bank or any Lender, including the fees, charges and disbursements of any outside counsel for the Administrative Agent, any Issuing Bank or any Lender, in connection with the enforcement, collection or protection of its rights in connection with the Loan Documents, including its rights under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or in connection with the Loans made or Letters of Credit issued hereunder, including all such out-of-pocket expenses incurred during any workout, restructuring or negotiations in respect of such Loans or Letters of Credit. Expenses being reimbursed by the Borrower under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include, without limiting the generality of the foregoing, costs and expenses incurred in connection with:</w:t>
      </w:r>
    </w:p>
    <w:p>
      <w:pPr>
        <w:spacing w:after="0" w:line="189"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81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fees and other charges for (A) lien searches and (B) filing financing statements and continuations, and other actions to perfect, protect, and continue the Administrative Agent’s Liens;</w:t>
      </w:r>
    </w:p>
    <w:p>
      <w:pPr>
        <w:spacing w:after="0" w:line="161"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sums paid or incurred to take any action required of any Loan Party under the Loan Documents that such Loan Party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pay or take; and</w:t>
      </w:r>
    </w:p>
    <w:p>
      <w:pPr>
        <w:spacing w:after="0" w:line="206"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forwarding loan proceeds, collecting checks and other items of payment, and costs and expenses of preserving and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the Collateral.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All of the foregoing costs and expenses may be charged to the Borrower as Loans or to another deposit account, all as described in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1" w:lineRule="auto"/>
        <w:tabs>
          <w:tab w:leader="none" w:pos="18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the Administrative Agent, each Issuing Bank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penalties, liabilities and related expenses (except for taxes, which shall be covered by </w:t>
      </w:r>
      <w:r>
        <w:rPr>
          <w:rFonts w:ascii="Times New Roman" w:cs="Times New Roman" w:eastAsia="Times New Roman" w:hAnsi="Times New Roman"/>
          <w:sz w:val="18"/>
          <w:szCs w:val="18"/>
          <w:u w:val="single" w:color="auto"/>
          <w:color w:val="auto"/>
        </w:rPr>
        <w:t>Sections 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10.09</w:t>
      </w:r>
      <w:r>
        <w:rPr>
          <w:rFonts w:ascii="Times New Roman" w:cs="Times New Roman" w:eastAsia="Times New Roman" w:hAnsi="Times New Roman"/>
          <w:sz w:val="18"/>
          <w:szCs w:val="18"/>
          <w:color w:val="auto"/>
        </w:rPr>
        <w:t xml:space="preserve">), including the fees, charges and disbursements of any counsel for any Indemnitee (except during the continuation of an event of default and/or in connection with the enforcement of the Loan Documents, such legal expenses shall be limited to one counsel for all Indemnitees taken as a whole and, if reasonably necessary, a single local counsel for all Indemnitees taken as a whole in each relevant jurisdiction and, solely in the case of a conflict of interest, one additional counsel (and, if reasonably necessary, one firm of local counsel in each relevant jurisdiction) to each group of affected Indemnitees similarly situated taken as a whole),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(iv) the failure of the Borrower to deliver to the Administrative Agent the required receipts or other required documentary evidence with respect to a payment made by the Borrower for Indemnified Taxes or Other Taxes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(v) any actual or prospective claim, litigation, investigation or proceeding relating to any of the foregoing, whether based on contract, tort or any other theory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indemnity shall not, as to any Indemnitee, be available to the extent that such losses, claims, damages, penalties, liabilities or related expenses (x) are determined by a court of competent jurisdiction by final and nonappealable judgment to have resulted from the gross negligence or willful misconduct of such Indemnitee or any Related Indemnitee Party of such Indemnitee or (y) result from a claim brought by the Borrower or any of its Subsidiaries against an Indemnitee or any Related Indemnitee Party of such Indemnitee for breach in bad faith of such Indemnitee’s obligations hereunder or under any other Loan Document, if the Borrower or such Subsidiary has obtained a final and non-appealable judgment in its favor on such claim as determined by a court of competent jurisdiction.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1304"/>
        <w:spacing w:after="0" w:line="258" w:lineRule="auto"/>
        <w:tabs>
          <w:tab w:leader="none" w:pos="183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Borrower fails to pay any amount required to be paid by it to the Administrative Agent or any Issuing Bank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each Lender severally agrees to pay to the Administrative Agent or such Issuing Bank,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unreimbursed expense or indemnified loss, claim, damage, penalty, liability or related expense, as the case may be, was incurred by or asserted against the Administrative Agent or such Issuing Bank in its capacity as such.</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6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Loan Party shall assert, and each hereby waives, any claim against any Indemnitee for any damages arising from the use by unintended recipients of information or other materials obtained through telecommunications, electronic or other information transmission systems (including the Internet), except as determined by a court of competent jurisdiction by final and nonappealable judgment to have resulted from the gross negligence or willful misconduct of such Indemnitee or any Related Indemnitee Party of such Indemnitee.</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8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Indemnitee nor any Loan Party shall be liable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shall relieve any Loan Party of any obligation it may have to indemnify an Indemnitee against special, indirect, consequential or punitive damages asserted against such Indemnitee by a third party.</w:t>
      </w:r>
    </w:p>
    <w:p>
      <w:pPr>
        <w:spacing w:after="0" w:line="183"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due under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shall be payable promptly after written demand therefor.</w:t>
      </w:r>
    </w:p>
    <w:p>
      <w:pPr>
        <w:spacing w:after="0" w:line="225"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99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Nothing in this Agreement, expressed or implied, shall be construed to confer upon any Person (other than the parties hereto, their respective successors and assigns permitted hereby (including any Affiliate of an Issuing Bank that issues any Letter of Credit), Participants (to the extent provided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and, to the extent expressly contemplated hereby, the Related Parties of each of the Administrative Agent, the Issuing Banks and the Lenders) any legal or equitable right, remedy or claim under or by reason of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firstLine="1304"/>
        <w:spacing w:after="0" w:line="266" w:lineRule="auto"/>
        <w:tabs>
          <w:tab w:leader="none" w:pos="203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Subject to the conditions set forth in </w:t>
      </w:r>
      <w:r>
        <w:rPr>
          <w:rFonts w:ascii="Times New Roman" w:cs="Times New Roman" w:eastAsia="Times New Roman" w:hAnsi="Times New Roman"/>
          <w:sz w:val="18"/>
          <w:szCs w:val="18"/>
          <w:u w:val="single" w:color="auto"/>
          <w:color w:val="auto"/>
        </w:rPr>
        <w:t>clause (b)(ii)</w:t>
      </w:r>
      <w:r>
        <w:rPr>
          <w:rFonts w:ascii="Times New Roman" w:cs="Times New Roman" w:eastAsia="Times New Roman" w:hAnsi="Times New Roman"/>
          <w:sz w:val="18"/>
          <w:szCs w:val="18"/>
          <w:color w:val="auto"/>
        </w:rPr>
        <w:t xml:space="preserve"> below, any Lender may assign to one or more Persons (other than an Ineligible Institution) all or a portion of its rights and obligations under this Agreement (including all or a portion of its Commitment and the Loans at the time owing to it) with the prior written consent (such consent not to be unreasonably withheld) of:</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652"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any such assignment unless it shall object thereto by written notice to the Administrative Agent within ten (10) Business Days after having received notice thereof,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consent of the Borrower shall be required for an assignment to a Lender, an Affiliate of a Lender, an Approved Fund or, if a Specified Default has occurred and is continuing, any other assignee;</w:t>
      </w:r>
    </w:p>
    <w:p>
      <w:pPr>
        <w:spacing w:after="0" w:line="179"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w:t>
      </w:r>
    </w:p>
    <w:p>
      <w:pPr>
        <w:spacing w:after="0" w:line="225"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Issuing Banks.</w:t>
      </w:r>
    </w:p>
    <w:p>
      <w:pPr>
        <w:spacing w:after="0" w:line="225" w:lineRule="exact"/>
        <w:rPr>
          <w:sz w:val="20"/>
          <w:szCs w:val="20"/>
          <w:color w:val="auto"/>
        </w:rPr>
      </w:pPr>
    </w:p>
    <w:p>
      <w:pPr>
        <w:ind w:left="2580" w:hanging="628"/>
        <w:spacing w:after="0"/>
        <w:tabs>
          <w:tab w:leader="none" w:pos="25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225" w:lineRule="exact"/>
        <w:rPr>
          <w:sz w:val="20"/>
          <w:szCs w:val="20"/>
          <w:color w:val="auto"/>
        </w:rPr>
      </w:pPr>
    </w:p>
    <w:p>
      <w:pPr>
        <w:jc w:val="both"/>
        <w:ind w:left="1300" w:firstLine="652"/>
        <w:spacing w:after="0" w:line="258" w:lineRule="auto"/>
        <w:tabs>
          <w:tab w:leader="none" w:pos="252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or an Affiliate of a Lender or an Approved Fund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 million unless each of the Borrower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consent of the Borrower shall be required if a Specified Default has occurred and is continuing;</w:t>
      </w:r>
    </w:p>
    <w:p>
      <w:pPr>
        <w:spacing w:after="0" w:line="183" w:lineRule="exact"/>
        <w:rPr>
          <w:rFonts w:ascii="Times New Roman" w:cs="Times New Roman" w:eastAsia="Times New Roman" w:hAnsi="Times New Roman"/>
          <w:sz w:val="18"/>
          <w:szCs w:val="18"/>
          <w:color w:val="auto"/>
        </w:rPr>
      </w:pPr>
    </w:p>
    <w:p>
      <w:pPr>
        <w:ind w:left="1300" w:firstLine="652"/>
        <w:spacing w:after="0" w:line="282" w:lineRule="auto"/>
        <w:tabs>
          <w:tab w:leader="none" w:pos="260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partial assignment shall be made as an assignment of a proportionate part of all the assigning Lender’s rights and obligations under this Agreement;</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63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to each assignment shall execute and deliver to the Administrative Agent an Assignment and Assumption, together with a processing and recordation fee of $3,500 and the tax forms required by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64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left="-460" w:firstLine="1292"/>
        <w:spacing w:after="0" w:line="254" w:lineRule="auto"/>
        <w:tabs>
          <w:tab w:leader="none" w:pos="147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acceptance and recording thereof pursuant to </w:t>
      </w:r>
      <w:r>
        <w:rPr>
          <w:rFonts w:ascii="Times New Roman" w:cs="Times New Roman" w:eastAsia="Times New Roman" w:hAnsi="Times New Roman"/>
          <w:sz w:val="18"/>
          <w:szCs w:val="18"/>
          <w:u w:val="single" w:color="auto"/>
          <w:color w:val="auto"/>
        </w:rPr>
        <w:t>clause (b)(iv)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from and after the effective date specified in each Assignment and Assumption (A) the assignee thereunder shall be a party hereto and, to the extent of the interest assigned by such Assignment and Assumption, have the rights and obligations of a Lender under this Agreement and (B)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460" w:firstLine="1292"/>
        <w:spacing w:after="0" w:line="255" w:lineRule="auto"/>
        <w:tabs>
          <w:tab w:leader="none" w:pos="145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of and stated interest on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the Borrower,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Borrower, the Issuing Banks and any Lender, at any reasonable time and from time to time upon reasonable prior notice.</w:t>
      </w:r>
    </w:p>
    <w:p>
      <w:pPr>
        <w:spacing w:after="0" w:line="188"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44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its receipt of (x) a duly completed Assignment and Assumption executed by an assigning Lender and an assignee or (y) to the extent applicable, an agreement incorporating an Assignment and Assumption by reference pursuant to any applicable electronic platform as to which the Administrative Agent and the parties to the Assignment and Assumption are participants, the assignee’s completed Administrative Questionnaire (unless the assignee shall already be a Lender hereunder), the processing and recordation fee and tax forms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any written consent to such assignment required by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the Administrative Agent shall accept such Assignment and Assumption and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2.18(d)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9.03(c)</w:t>
      </w:r>
      <w:r>
        <w:rPr>
          <w:rFonts w:ascii="Times New Roman" w:cs="Times New Roman" w:eastAsia="Times New Roman" w:hAnsi="Times New Roman"/>
          <w:sz w:val="18"/>
          <w:szCs w:val="18"/>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7" w:name="page118"/>
    <w:bookmarkEnd w:id="117"/>
    <w:p>
      <w:pPr>
        <w:jc w:val="both"/>
        <w:ind w:firstLine="1304"/>
        <w:spacing w:after="0" w:line="252" w:lineRule="auto"/>
        <w:tabs>
          <w:tab w:leader="none" w:pos="201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without the consent of the Borrower, the Administrative Agent or any Issuing Bank,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other than an Ineligible Institution in all or a portion of such Lender’s rights and obligations under this Agreement (including all or a portion of its Commitment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that affects such Participant. Subject to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(c)(ii)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9.04</w:t>
      </w:r>
      <w:r>
        <w:rPr>
          <w:rFonts w:ascii="Times New Roman" w:cs="Times New Roman" w:eastAsia="Times New Roman" w:hAnsi="Times New Roman"/>
          <w:sz w:val="18"/>
          <w:szCs w:val="18"/>
          <w:color w:val="auto"/>
        </w:rPr>
        <w:t xml:space="preserve">, the Borrower agrees that each Participant shall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(subject to the requirements and limitations therein, including the requirements under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shall be delivered to the participating Lender))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as though it were a Lender, provided such Participant agrees to be subject to the provisions of </w:t>
      </w:r>
      <w:r>
        <w:rPr>
          <w:rFonts w:ascii="Times New Roman" w:cs="Times New Roman" w:eastAsia="Times New Roman" w:hAnsi="Times New Roman"/>
          <w:sz w:val="18"/>
          <w:szCs w:val="18"/>
          <w:u w:val="single" w:color="auto"/>
          <w:color w:val="auto"/>
        </w:rPr>
        <w:t>Sections 2.18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as if it were an assignee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shall not be entitled to receive any greater payment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with respect to any participation, than its participating Lender would have been entitled to receive, except (i) to the extent such entitlement to receive a greater payment results from a Change in Law that occurs after the Participant acquired the applicable participation or (ii) such participating Lender failed to deliver the tax forms required by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as though it were a Lender, provided such Participant agrees to be subject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0" w:lineRule="exact"/>
        <w:rPr>
          <w:sz w:val="20"/>
          <w:szCs w:val="20"/>
          <w:color w:val="auto"/>
        </w:rPr>
      </w:pPr>
    </w:p>
    <w:p>
      <w:pPr>
        <w:jc w:val="both"/>
        <w:ind w:firstLine="1304"/>
        <w:spacing w:after="0" w:line="261" w:lineRule="auto"/>
        <w:tabs>
          <w:tab w:leader="none" w:pos="2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pledge or assignment of a security interest shall release a Lender from any of its obligations hereunder or substitute any such pledgee or assignee for such Lender as a party hereto.</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9.06</w:t>
      </w:r>
      <w:r>
        <w:rPr>
          <w:sz w:val="20"/>
          <w:szCs w:val="20"/>
          <w:color w:val="auto"/>
        </w:rPr>
        <w:tab/>
      </w:r>
      <w:r>
        <w:rPr>
          <w:rFonts w:ascii="Times New Roman" w:cs="Times New Roman" w:eastAsia="Times New Roman" w:hAnsi="Times New Roman"/>
          <w:sz w:val="17"/>
          <w:szCs w:val="17"/>
          <w:u w:val="single" w:color="auto"/>
          <w:color w:val="auto"/>
        </w:rPr>
        <w:t>Counterparts; Integration; Effectiveness; Electronic Execution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87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or such Loan Guarantor against any of and all the Secured Obligations held by such Lender, irrespective of whether or not such Lender shall have made any demand under the Loan Documents and although such obligations may be unmatured. The applicable Lender shall notify the Borrower and the Administrative Agent of such setoff or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or application under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The rights of each Lender under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are in addition to other rights and remedies (including other rights of setoff) which such Lender may have.</w:t>
      </w:r>
    </w:p>
    <w:p>
      <w:pPr>
        <w:spacing w:after="0" w:line="192"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9.09</w:t>
      </w:r>
      <w:r>
        <w:rPr>
          <w:sz w:val="20"/>
          <w:szCs w:val="20"/>
          <w:color w:val="auto"/>
        </w:rPr>
        <w:tab/>
      </w:r>
      <w:r>
        <w:rPr>
          <w:rFonts w:ascii="Times New Roman" w:cs="Times New Roman" w:eastAsia="Times New Roman" w:hAnsi="Times New Roman"/>
          <w:sz w:val="17"/>
          <w:szCs w:val="17"/>
          <w:u w:val="single" w:color="auto"/>
          <w:color w:val="auto"/>
        </w:rPr>
        <w:t>Governing Law; Jurisdiction; Consent to Service of Process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82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Documents (other than those containing a contrary express choice of law provision) shall be governed by and construed in accordance with the laws of the State of New York.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1304"/>
        <w:spacing w:after="0" w:line="254" w:lineRule="auto"/>
        <w:tabs>
          <w:tab w:leader="none" w:pos="188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hereby irrevocably and unconditionally submits, for itself and its property, to the exclusive jurisdiction of any U.S. Federal or New York State court sitting in New York, New York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any Issuing Bank or any Lender may otherwise have to bring any action or proceeding relating to this Agreement or any other Loan Document against any Loan Party or its properties in the courts of any jurisdiction.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0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96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Nothing in this Agreement or any other Loan Document will affect the right of any party to this Agreement to serve process in any other manner permitted by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the Administrative Agent, the Issuing Banks and the Lenders agrees to maintain the confidentiality of the Information (as defined below), except that Information may be disclosed (a) to its and its Affiliates’ respective officers, directors, employees, legal counsel, independent auditors and other experts or agents who need to know such information in connection with the transactions contemplated hereby and are informed of the confidential nature of such information, (b) upon the request or demand of any regulatory authority having jurisdiction over it or any of its Affiliates (in which case (except with respect to any audit or examination conducted by bank accountants or any bank or other regulatory authority exercising examination or regulatory authority), it, to the extent practicable and permitted by law, rule or regulation, agrees to inform the Borrower promptly thereof), (c) pursuant to the order of any court or administrative agency, in any pending legal, judicial or administrative proceeding or as otherwise required by applicable law or regulation or as requested by a governmental authority (in which case (except with respect to any audit or examination conducted by bank accountants or any bank or other regulatory authority exercising examination or regulatory authority), it, to the extent practicable and permitted by law, rule or regulation, agrees to inform the Borrower promptly thereof),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or otherwise reasonably acceptable to the Borrower, to (i) any assignee of or Participant in, or any prospective assignee of or Participant in, any of its rights or obligations under this Agreement (and any of their respective advisors) or (ii) any actual or prospective counterparty (or its advisors) to any swap or derivative transaction relating to the Loan Parties and their obligations, (g) with the consent of the Borrower, (h) to holders of Equity Interests in the Borrower, (i) to the extent that such information is independently developed by it or its Affiliates, in each case, so long as not based on information obtained in a manner that would otherwise violate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(j) for purposes of establishing a “due diligence” defense, (k) to ratings agencies or (l) to the extent such Information (i) becomes publicly available other than as a result of a breach of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or (ii) becomes available to the Administrative Agent, any Issuing Bank or any Lender on a non-confidential basis from a source other than the Borrower. For the purposes of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 relating to the Borrower or their business, other than any such information that is available to the Administrative Agent, any Issuing Bank or any Lender on a non-confidential basis prior to disclosure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EACH LENDER ACKNOWLEDGES THAT INFORMATION AS DEFINED IN SECTION 9.12 FURNISHED TO IT PURSUANT TO THIS AGREEMENT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Several Obligations; Nonreliance; Violation of Law</w:t>
      </w:r>
      <w:r>
        <w:rPr>
          <w:rFonts w:ascii="Times New Roman" w:cs="Times New Roman" w:eastAsia="Times New Roman" w:hAnsi="Times New Roman"/>
          <w:sz w:val="18"/>
          <w:szCs w:val="18"/>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no Issuing Bank nor any Lender shall be obligated to extend credit to the Borrower in violation of any Requirement of Law.</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Appointment for Perfection</w:t>
      </w:r>
      <w:r>
        <w:rPr>
          <w:rFonts w:ascii="Times New Roman" w:cs="Times New Roman" w:eastAsia="Times New Roman" w:hAnsi="Times New Roman"/>
          <w:sz w:val="18"/>
          <w:szCs w:val="18"/>
          <w:color w:val="auto"/>
        </w:rPr>
        <w:t>. Each Lender hereby appoints each other Lender as its agent for the purpose of perfecting Liens, for the benefit of the Administrative Agent and the other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the Borrower acknowledges and agrees that: (i)</w:t>
      </w:r>
    </w:p>
    <w:p>
      <w:pPr>
        <w:jc w:val="both"/>
        <w:ind w:firstLine="8"/>
        <w:spacing w:after="0" w:line="251" w:lineRule="auto"/>
        <w:tabs>
          <w:tab w:leader="none" w:pos="31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arranging and other services regarding this Agreement provided by the Lenders are arm’s-length commercial transactions between the Borrower and its Affiliates, on the one hand, and the Lenders and their Affiliates,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each of the Lenders and their Affiliates is and has been acting solely as a principal and, except as expressly agreed in writing by the relevant parties, has not been, is not, and will not be acting as an advisor, agent or fiduciary for the Borrower or any of its Affiliates, or any other Person and (B) no Lender or any of its Affiliates has any obligation to the Borrower or any of its Affiliates with respect to the transactions contemplated hereby except, in the case of a Lender, those obligations expressly set forth herein and in the other Loan Documents; and (iii) each of the Lenders and their respective Affiliates may be engaged in a broad range of transactions that involve interests that differ from those of the Borrower and its Affiliates, and no Lender or any of its Affiliates has any obligation to disclose any of such interests to the Borrower or its Affiliates. To the fullest extent permitted by law, the Borrower hereby waives and releases any claims that it may have against each of the Lenders and their Affiliates with respect to any breach or alleged breach of agency or fiduciary duty in connection with any aspect of any transaction contemplated hereby.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(all such liabilities, the “</w:t>
      </w:r>
      <w:r>
        <w:rPr>
          <w:rFonts w:ascii="Times New Roman" w:cs="Times New Roman" w:eastAsia="Times New Roman" w:hAnsi="Times New Roman"/>
          <w:sz w:val="18"/>
          <w:szCs w:val="18"/>
          <w:u w:val="single" w:color="auto"/>
          <w:color w:val="auto"/>
        </w:rPr>
        <w:t>Covered Liabilities</w:t>
      </w:r>
      <w:r>
        <w:rPr>
          <w:rFonts w:ascii="Times New Roman" w:cs="Times New Roman" w:eastAsia="Times New Roman" w:hAnsi="Times New Roman"/>
          <w:sz w:val="18"/>
          <w:szCs w:val="18"/>
          <w:color w:val="auto"/>
        </w:rPr>
        <w:t>”), may be subject to the Write-Down and Conversion Powers and agrees and consents to, and acknowledges and agrees to be bound by:</w:t>
      </w:r>
    </w:p>
    <w:p>
      <w:pPr>
        <w:spacing w:after="0" w:line="180" w:lineRule="exact"/>
        <w:rPr>
          <w:sz w:val="20"/>
          <w:szCs w:val="20"/>
          <w:color w:val="auto"/>
        </w:rPr>
      </w:pPr>
    </w:p>
    <w:p>
      <w:pPr>
        <w:ind w:firstLine="1304"/>
        <w:spacing w:after="0" w:line="282" w:lineRule="auto"/>
        <w:tabs>
          <w:tab w:leader="none" w:pos="223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Covered Liability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Covered Liability, including, if applicable:</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Covered Liability;</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11"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Covered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Covered Liability under this Agreement or any other Loan Document; or</w:t>
      </w:r>
    </w:p>
    <w:p>
      <w:pPr>
        <w:spacing w:after="0" w:line="179" w:lineRule="exact"/>
        <w:rPr>
          <w:rFonts w:ascii="Times New Roman" w:cs="Times New Roman" w:eastAsia="Times New Roman" w:hAnsi="Times New Roman"/>
          <w:sz w:val="18"/>
          <w:szCs w:val="18"/>
          <w:color w:val="auto"/>
        </w:rPr>
      </w:pPr>
    </w:p>
    <w:p>
      <w:pPr>
        <w:ind w:left="660" w:firstLine="1292"/>
        <w:spacing w:after="0" w:line="282" w:lineRule="auto"/>
        <w:tabs>
          <w:tab w:leader="none" w:pos="255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Covered Liability in connection with the exercise of the Write-Down and Conversion Powers of the applicable Resolution Authority.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Acknowledgment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1304"/>
        <w:spacing w:after="0" w:line="256" w:lineRule="auto"/>
        <w:tabs>
          <w:tab w:leader="none" w:pos="218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5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223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LOAN GUARANTY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Each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attorneys’ and paralegals’ fees (including allocated costs of in-house counsel and paralegals) and expenses paid or incurred by the Administrative Agent, the Issuing Banks and the Lenders in endeavoring to collect all or any part of the Secured Obligations from, or in prosecuting any action against, the Borrower, any Loan Guarantor or any other guarantor of all or any part of the Secured Obligations (such costs and expenses, together with the Secured Obligations, collectively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Guaranty of Payment</w:t>
      </w:r>
      <w:r>
        <w:rPr>
          <w:rFonts w:ascii="Times New Roman" w:cs="Times New Roman" w:eastAsia="Times New Roman" w:hAnsi="Times New Roman"/>
          <w:sz w:val="18"/>
          <w:szCs w:val="18"/>
          <w:color w:val="auto"/>
        </w:rPr>
        <w:t>. This Loan Guaranty is a guaranty of payment and not of collection. Each Loan Guarantor waives any right to require the Administrative Agent, any Issuing Bank or any Lender to sue the Borrower, any Loan Guarantor, any other guarantor, or any other Person obligated for all or any part of the Guaranteed Obligations (each, an “</w:t>
      </w:r>
      <w:r>
        <w:rPr>
          <w:rFonts w:ascii="Times New Roman" w:cs="Times New Roman" w:eastAsia="Times New Roman" w:hAnsi="Times New Roman"/>
          <w:sz w:val="18"/>
          <w:szCs w:val="18"/>
          <w:u w:val="single" w:color="auto"/>
          <w:color w:val="auto"/>
        </w:rPr>
        <w:t>Obligated Party</w:t>
      </w:r>
      <w:r>
        <w:rPr>
          <w:rFonts w:ascii="Times New Roman" w:cs="Times New Roman" w:eastAsia="Times New Roman" w:hAnsi="Times New Roman"/>
          <w:sz w:val="18"/>
          <w:szCs w:val="18"/>
          <w:color w:val="auto"/>
        </w:rPr>
        <w:t>”), or otherwise to enforce its payment against any collateral securing all or any part of the Guaranteed Obligations.</w:t>
      </w:r>
    </w:p>
    <w:p>
      <w:pPr>
        <w:spacing w:after="0" w:line="180"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10.03</w:t>
      </w:r>
      <w:r>
        <w:rPr>
          <w:sz w:val="20"/>
          <w:szCs w:val="20"/>
          <w:color w:val="auto"/>
        </w:rPr>
        <w:tab/>
      </w:r>
      <w:r>
        <w:rPr>
          <w:rFonts w:ascii="Times New Roman" w:cs="Times New Roman" w:eastAsia="Times New Roman" w:hAnsi="Times New Roman"/>
          <w:sz w:val="17"/>
          <w:szCs w:val="17"/>
          <w:u w:val="single" w:color="auto"/>
          <w:color w:val="auto"/>
        </w:rPr>
        <w:t>No Discharge or Diminishment of Loan Guaranty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204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for herein, the obligations of each Loan Guarantor hereunder are unconditional and absolute and not subject to any reduction, limitation, impairment or termination for any reason (other than the indefeasible payment in full in cash of the Guaranteed Obligations (other than Unliquidated Obligations), and the cash collateralization of all Unliquidated Obligations in a manner satisfactory to each affected Lender), including: (i) any claim of waiver, release, extension, renewal, settlement, surrender, alteration, or compromise of any of the Guaranteed Obligations, by operation of law or otherwise; (ii) any change in the corporate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any Issuing Bank, any Lender, or any other Person, whether in connection herewith or in any unrelated transactions.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1304"/>
        <w:spacing w:after="0" w:line="266" w:lineRule="auto"/>
        <w:tabs>
          <w:tab w:leader="none" w:pos="221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57" w:lineRule="auto"/>
        <w:tabs>
          <w:tab w:leader="none" w:pos="2238"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the obligations of any Loan Guarantor hereunder are not discharged or impaired or otherwise affected by: (i) the failure of the Administrative Agent, any Issuing Bank or any Lender to assert any claim or demand or to enforce any remedy with respect to all or any part of the Guaranteed Obligations; (ii) any waiver or modification of or supplement to any provision of any agreement relating to the Guaranteed Obligations;</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33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release, non-perfection, or invalidity of any indirect or direct security for the obligations of the Borrower for all or any part of the Guaranteed Obligations or any obligations of any other Obligated Party liable for any of the Guaranteed Obligations; (iv) any action or failure to act by the Administrative Agent, any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indefeasible payment in full in cash of the Guaranteed Obligations).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Defenses Waived</w:t>
      </w:r>
      <w:r>
        <w:rPr>
          <w:rFonts w:ascii="Times New Roman" w:cs="Times New Roman" w:eastAsia="Times New Roman" w:hAnsi="Times New Roman"/>
          <w:sz w:val="18"/>
          <w:szCs w:val="18"/>
          <w:color w:val="auto"/>
        </w:rPr>
        <w:t>. To the fullest extent permitted by applicable law, each Loan Guarantor hereby waives any defense based on or arising out of any defense of the Borrower or any Loan Guarantor or the unenforceability of all or any part of the Guaranteed Obligations from any cause, or the cessation from any cause of the liability of the Borrower, any Loan Guarantor or any other Obligated Party, other than the indefeasible payment in full in cash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fully and indefeasibly paid in cash.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Rights of Subrogation</w:t>
      </w:r>
      <w:r>
        <w:rPr>
          <w:rFonts w:ascii="Times New Roman" w:cs="Times New Roman" w:eastAsia="Times New Roman" w:hAnsi="Times New Roman"/>
          <w:sz w:val="18"/>
          <w:szCs w:val="18"/>
          <w:color w:val="auto"/>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Banks and the Lenders.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Reinstatement; Stay of Acceleration</w:t>
      </w:r>
      <w:r>
        <w:rPr>
          <w:rFonts w:ascii="Times New Roman" w:cs="Times New Roman" w:eastAsia="Times New Roman" w:hAnsi="Times New Roman"/>
          <w:sz w:val="18"/>
          <w:szCs w:val="18"/>
          <w:color w:val="auto"/>
        </w:rPr>
        <w:t>. If at any time any payment of any portion of the Guaranteed Obligations (including a payment effected through exercise of a right of setoff) is rescinded or must otherwise be restored or returned upon the insolvency, bankruptcy, or reorganization of the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Banks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Loan Guarantors forthwith on demand by the Administrative Agent.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neither the Administrative Agent nor any Issuing Bank nor any Lender shall have any duty to advise any Loan Guarantor of information known to it regarding those circumstances or risks.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Each of the Lenders and the Issuing Bank may continue to make loans or extend credit to the Borrower based on this Loan Guaranty until five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that Guaranteed Obligations. Nothing in this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shall be deemed to constitute a waiver of, or eliminate, limit, reduce or otherwise impair any rights or remedies the Administrative Agent or any Lender may have in respect of, any Default or Event of Default that shall exist under </w:t>
      </w:r>
      <w:r>
        <w:rPr>
          <w:rFonts w:ascii="Times New Roman" w:cs="Times New Roman" w:eastAsia="Times New Roman" w:hAnsi="Times New Roman"/>
          <w:sz w:val="18"/>
          <w:szCs w:val="18"/>
          <w:u w:val="single" w:color="auto"/>
          <w:color w:val="auto"/>
        </w:rPr>
        <w:t>clause (o)</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hereof as a result of any such notice of termination.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Each payment of the Guaranteed Obligations will be made by each Loan Guarantor without withholding for any 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the Administrative Agent, Lender or Issuing Bank (as the case may be) receives the amount it would have received had no such withholding been made.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Maximum Liability</w:t>
      </w:r>
      <w:r>
        <w:rPr>
          <w:rFonts w:ascii="Times New Roman" w:cs="Times New Roman" w:eastAsia="Times New Roman" w:hAnsi="Times New Roman"/>
          <w:sz w:val="18"/>
          <w:szCs w:val="18"/>
          <w:color w:val="auto"/>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10.11</w:t>
      </w:r>
      <w:r>
        <w:rPr>
          <w:sz w:val="20"/>
          <w:szCs w:val="20"/>
          <w:color w:val="auto"/>
        </w:rPr>
        <w:tab/>
      </w:r>
      <w:r>
        <w:rPr>
          <w:rFonts w:ascii="Times New Roman" w:cs="Times New Roman" w:eastAsia="Times New Roman" w:hAnsi="Times New Roman"/>
          <w:sz w:val="17"/>
          <w:szCs w:val="17"/>
          <w:u w:val="single" w:color="auto"/>
          <w:color w:val="auto"/>
        </w:rPr>
        <w:t>Contribution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89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Loan Guarantor shall make a payment under this Loan Guaranty (a “</w:t>
      </w:r>
      <w:r>
        <w:rPr>
          <w:rFonts w:ascii="Times New Roman" w:cs="Times New Roman" w:eastAsia="Times New Roman" w:hAnsi="Times New Roman"/>
          <w:sz w:val="18"/>
          <w:szCs w:val="18"/>
          <w:u w:val="single" w:color="auto"/>
          <w:color w:val="auto"/>
        </w:rPr>
        <w:t>Guarantor Payment</w:t>
      </w:r>
      <w:r>
        <w:rPr>
          <w:rFonts w:ascii="Times New Roman" w:cs="Times New Roman" w:eastAsia="Times New Roman" w:hAnsi="Times New Roman"/>
          <w:sz w:val="18"/>
          <w:szCs w:val="18"/>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and the Guaranteed Obligations (other than Unliquidated Obligations that have not yet arisen), and all Commitments and Letters of Credit have terminated or expired or, in the case of all Letters of Credit, are fully collateralized on terms reasonably acceptable to the Administrative Agent and the Issuing Bank, and this Agreement, the Swap Agreement Obligations and the Banking Services Obligations have terminated,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6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is intended only to define the relative rights of the Loan Guarantors, and nothing set forth in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is intended to or shall impair the obligations of the Loan Guarantors, jointly and severally, to pay any amounts as and when the same shall become due and payable in accordance with the terms of this Loan Guaranty.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8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that the rights of contribution and indemnification hereunder shall constitute assets of the Loan Guarantor or Loan Guarantors to which such contribution and indemnification is owing.</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the indemnifying Loan Guarantors against other Loan Guarantors under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shall be exercisable upon the full and indefeasible payment of the Guaranteed Obligations in cash (other than Unliquidated Obligations that have not yet arisen) and the termination or expiry (or, in the case of all Letters of Credit, full cash collateralization), on terms reasonably acceptable to the Administrative Agent and the Issuing Bank, of the Commitments and all Letters of Credit issued hereunder and the termination of this Agreement, the Swap Agreement Obligations and the Banking Services Obligations.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Liability Cumulative</w:t>
      </w:r>
      <w:r>
        <w:rPr>
          <w:rFonts w:ascii="Times New Roman" w:cs="Times New Roman" w:eastAsia="Times New Roman" w:hAnsi="Times New Roman"/>
          <w:sz w:val="18"/>
          <w:szCs w:val="18"/>
          <w:color w:val="auto"/>
        </w:rPr>
        <w:t xml:space="preserve">. The liability of each Loan Party as a Loan Guarantor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is in addition to and shall be cumulative with all liabilities of each Loan Party to the Administrative Agent, the Issuing Banks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 Each Qualified ECP Guarantor hereby jointly and severally absolutely, unconditionally and irrevocably undertakes to provide such funds or other support as may be needed from time to time by each other Loan Party or Loan Guarantor to honor all of its obligations under this Guarantee in respect of a Swap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Qualified ECP Guarantor shall only be liable under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for the maximum amount of such liability that can be hereby incurred without rendering its obligations under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or otherwise under this Loan Guaranty voidable under applicable law relating to fraudulent conveyance or fraudulent transfer, and not for any greater amount). Except as otherwise provided herein, the obligations of each Qualified ECP Guarantor under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shall remain in full force and effect until the termination of all Swap Obligations. Each Qualified ECP Guarantor intends that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constitute, and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shall be deemed to constitute, a “keepwell, support, or other agreement” for the benefit of each other Loan Party for all purposes of Section 1a(18)(A)(v)(II) of the Commodity Exchange Act.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Amendment and Restatement</w:t>
      </w:r>
      <w:r>
        <w:rPr>
          <w:rFonts w:ascii="Times New Roman" w:cs="Times New Roman" w:eastAsia="Times New Roman" w:hAnsi="Times New Roman"/>
          <w:sz w:val="18"/>
          <w:szCs w:val="18"/>
          <w:color w:val="auto"/>
        </w:rPr>
        <w:t>. This Agreement is an amendment and restatement of the Original Credit Agreement, it being acknowledged and agreed that as of the Amendment and Restatement Effective Date all obligations outstanding under or in connection with the Original Credit Agreement and any of the other Loan Documents (such obligations, collectively, the “Existing Obligations”) constitute obligations under this Agreement. This Agreement is in no way intended to constitute a novation of the Original Credit Agreement or the Existing Obligations. With respect to (i) any date or time period occurring and ending prior to the Amendment and Restatement Effective Date, the Original Credit Agreement and the other Loan Documents shall govern the respective rights and obligations of any party or parties hereto also party thereto and shall for such purposes remain in full force and effect; and (ii) any date or time period occurring or ending on or after the Amendment and Restatement Effective Date, the rights and obligations of the parties hereto shall be governed by this Agreement (including, without limitation, the exhibits and schedules hereto) and the other Loan Documents. From and after the Amendment and Restatement Effective Date, any reference to the Original Credit Agreement in any of the other Loan Documents executed or issued by and/or delivered to any one or more parties hereto pursuant to or in connection therewith shall be deemed to be a reference to this Agreement, and the provisions of this Agreement shall prevail in the event of any conflict or inconsistency between such provisions and those of the Original Credit Agreement.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Intentionally Omitted]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2920" w:type="dxa"/>
            <w:vAlign w:val="bottom"/>
            <w:gridSpan w:val="3"/>
          </w:tcPr>
          <w:p>
            <w:pPr>
              <w:jc w:val="right"/>
              <w:ind w:right="1156"/>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420" w:type="dxa"/>
            <w:vAlign w:val="bottom"/>
          </w:tcPr>
          <w:p>
            <w:pPr>
              <w:spacing w:after="0"/>
              <w:rPr>
                <w:sz w:val="24"/>
                <w:szCs w:val="24"/>
                <w:color w:val="auto"/>
              </w:rPr>
            </w:pPr>
          </w:p>
        </w:tc>
        <w:tc>
          <w:tcPr>
            <w:tcW w:w="2920" w:type="dxa"/>
            <w:vAlign w:val="bottom"/>
            <w:gridSpan w:val="3"/>
          </w:tcPr>
          <w:p>
            <w:pPr>
              <w:jc w:val="right"/>
              <w:ind w:right="516"/>
              <w:spacing w:after="0"/>
              <w:rPr>
                <w:sz w:val="20"/>
                <w:szCs w:val="20"/>
                <w:color w:val="auto"/>
              </w:rPr>
            </w:pPr>
            <w:r>
              <w:rPr>
                <w:rFonts w:ascii="Times New Roman" w:cs="Times New Roman" w:eastAsia="Times New Roman" w:hAnsi="Times New Roman"/>
                <w:sz w:val="18"/>
                <w:szCs w:val="18"/>
                <w:color w:val="auto"/>
              </w:rPr>
              <w:t>COMMITMENT SCHEDULE</w:t>
            </w: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4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Lender</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Commitments</w:t>
            </w:r>
          </w:p>
        </w:tc>
      </w:tr>
      <w:tr>
        <w:trPr>
          <w:trHeight w:val="223"/>
        </w:trPr>
        <w:tc>
          <w:tcPr>
            <w:tcW w:w="4420" w:type="dxa"/>
            <w:vAlign w:val="bottom"/>
            <w:tcBorders>
              <w:top w:val="single" w:sz="8" w:color="auto"/>
            </w:tcBorders>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9"/>
              </w:rPr>
              <w:t>Citibank, N.A.</w:t>
            </w: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ind w:right="1436"/>
              <w:spacing w:after="0"/>
              <w:rPr>
                <w:sz w:val="20"/>
                <w:szCs w:val="20"/>
                <w:color w:val="auto"/>
              </w:rPr>
            </w:pPr>
            <w:r>
              <w:rPr>
                <w:rFonts w:ascii="Times New Roman" w:cs="Times New Roman" w:eastAsia="Times New Roman" w:hAnsi="Times New Roman"/>
                <w:sz w:val="17"/>
                <w:szCs w:val="17"/>
                <w:color w:val="auto"/>
                <w:w w:val="70"/>
              </w:rPr>
              <w:t>$</w:t>
            </w:r>
          </w:p>
        </w:tc>
        <w:tc>
          <w:tcPr>
            <w:tcW w:w="3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44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PNC Bank, National Association</w:t>
            </w:r>
          </w:p>
        </w:tc>
        <w:tc>
          <w:tcPr>
            <w:tcW w:w="2920" w:type="dxa"/>
            <w:vAlign w:val="bottom"/>
            <w:gridSpan w:val="3"/>
          </w:tcPr>
          <w:p>
            <w:pPr>
              <w:jc w:val="right"/>
              <w:ind w:right="1436"/>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75,000,000</w:t>
            </w:r>
          </w:p>
        </w:tc>
      </w:tr>
      <w:tr>
        <w:trPr>
          <w:trHeight w:val="230"/>
        </w:trPr>
        <w:tc>
          <w:tcPr>
            <w:tcW w:w="442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9"/>
              </w:rPr>
              <w:t>TD Bank, N.A.</w:t>
            </w:r>
          </w:p>
        </w:tc>
        <w:tc>
          <w:tcPr>
            <w:tcW w:w="2920" w:type="dxa"/>
            <w:vAlign w:val="bottom"/>
            <w:gridSpan w:val="3"/>
            <w:shd w:val="clear" w:color="auto" w:fill="CCEEFF"/>
          </w:tcPr>
          <w:p>
            <w:pPr>
              <w:jc w:val="right"/>
              <w:ind w:right="1436"/>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75,000,000</w:t>
            </w:r>
          </w:p>
        </w:tc>
      </w:tr>
      <w:tr>
        <w:trPr>
          <w:trHeight w:val="229"/>
        </w:trPr>
        <w:tc>
          <w:tcPr>
            <w:tcW w:w="44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HSBC Bank USA, National Association</w:t>
            </w:r>
          </w:p>
        </w:tc>
        <w:tc>
          <w:tcPr>
            <w:tcW w:w="2920" w:type="dxa"/>
            <w:vAlign w:val="bottom"/>
            <w:gridSpan w:val="3"/>
          </w:tcPr>
          <w:p>
            <w:pPr>
              <w:jc w:val="right"/>
              <w:ind w:right="1436"/>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75,000,000</w:t>
            </w:r>
          </w:p>
        </w:tc>
      </w:tr>
      <w:tr>
        <w:trPr>
          <w:trHeight w:val="229"/>
        </w:trPr>
        <w:tc>
          <w:tcPr>
            <w:tcW w:w="4420" w:type="dxa"/>
            <w:vAlign w:val="bottom"/>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w w:val="99"/>
              </w:rPr>
              <w:t>JPMorgan Chase Bank, N.A.</w:t>
            </w:r>
          </w:p>
        </w:tc>
        <w:tc>
          <w:tcPr>
            <w:tcW w:w="2920" w:type="dxa"/>
            <w:vAlign w:val="bottom"/>
            <w:gridSpan w:val="3"/>
            <w:shd w:val="clear" w:color="auto" w:fill="CCEEFF"/>
          </w:tcPr>
          <w:p>
            <w:pPr>
              <w:jc w:val="right"/>
              <w:ind w:right="1436"/>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50,000,000</w:t>
            </w:r>
          </w:p>
        </w:tc>
      </w:tr>
      <w:tr>
        <w:trPr>
          <w:trHeight w:val="230"/>
        </w:trPr>
        <w:tc>
          <w:tcPr>
            <w:tcW w:w="442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Bank of America, N.A.</w:t>
            </w:r>
          </w:p>
        </w:tc>
        <w:tc>
          <w:tcPr>
            <w:tcW w:w="2920" w:type="dxa"/>
            <w:vAlign w:val="bottom"/>
            <w:gridSpan w:val="3"/>
          </w:tcPr>
          <w:p>
            <w:pPr>
              <w:jc w:val="right"/>
              <w:ind w:right="1436"/>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50,000,000</w:t>
            </w:r>
          </w:p>
        </w:tc>
      </w:tr>
      <w:tr>
        <w:trPr>
          <w:trHeight w:val="209"/>
        </w:trPr>
        <w:tc>
          <w:tcPr>
            <w:tcW w:w="4420" w:type="dxa"/>
            <w:vAlign w:val="bottom"/>
            <w:tcBorders>
              <w:top w:val="single" w:sz="8" w:color="CCEEFF"/>
            </w:tcBorders>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ind w:right="14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668"/>
        </w:trPr>
        <w:tc>
          <w:tcPr>
            <w:tcW w:w="4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Assignment and Assumption (the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name of Assignee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Amended and Restated Credit Agreement identified below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Amended and Restated Credit Agreement</w:t>
      </w:r>
      <w:r>
        <w:rPr>
          <w:rFonts w:ascii="Times New Roman" w:cs="Times New Roman" w:eastAsia="Times New Roman" w:hAnsi="Times New Roman"/>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For an agreed consideration, the Assignor hereby irrevocably sells and assigns to the Assignee, and the Assignee hereby irrevocably purchases and assumes from the Assignor, subject to and in accordance with the Standard Terms and Conditions and the Amended and Restated Credit Agreement, as of the Effective Date inserted by the Administrative Agent as contemplated below (i) all of the Assignor’s rights and obligations in its capacity as a Lender under the Amended and Restated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Amended and Restated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(the rights and obligations sold and assigned pursuant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being referred to herein collectively as the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190" w:lineRule="exact"/>
        <w:rPr>
          <w:sz w:val="20"/>
          <w:szCs w:val="20"/>
          <w:color w:val="auto"/>
        </w:rPr>
      </w:pPr>
    </w:p>
    <w:p>
      <w:pPr>
        <w:ind w:left="1140" w:hanging="565"/>
        <w:spacing w:after="0"/>
        <w:tabs>
          <w:tab w:leader="none" w:pos="11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w:t>
      </w:r>
    </w:p>
    <w:p>
      <w:pPr>
        <w:spacing w:after="0" w:line="225"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-264795</wp:posOffset>
            </wp:positionV>
            <wp:extent cx="49891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89195"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8890</wp:posOffset>
            </wp:positionV>
            <wp:extent cx="49891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[and is an Affiliate/Approved Fund of [</w:t>
      </w:r>
      <w:r>
        <w:rPr>
          <w:rFonts w:ascii="Times New Roman" w:cs="Times New Roman" w:eastAsia="Times New Roman" w:hAnsi="Times New Roman"/>
          <w:sz w:val="18"/>
          <w:szCs w:val="18"/>
          <w:i w:val="1"/>
          <w:iCs w:val="1"/>
          <w:color w:val="auto"/>
        </w:rPr>
        <w:t>identify Lender</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3.</w:t>
            </w:r>
          </w:p>
        </w:tc>
        <w:tc>
          <w:tcPr>
            <w:tcW w:w="2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Borrower:</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ExlService Holdings, Inc.</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4.</w:t>
            </w:r>
          </w:p>
        </w:tc>
        <w:tc>
          <w:tcPr>
            <w:tcW w:w="2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Administrative Agent:</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Citibank, N.A., as the administrative agent under the Amended and Restated Credit Agreement</w:t>
            </w:r>
          </w:p>
        </w:tc>
      </w:tr>
      <w:tr>
        <w:trPr>
          <w:trHeight w:val="41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5.</w:t>
            </w:r>
          </w:p>
        </w:tc>
        <w:tc>
          <w:tcPr>
            <w:tcW w:w="2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 Agreement:</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$400 million Amended and Restated Credit Agreement dated as of April 18, 2022, among ExlService</w:t>
            </w:r>
          </w:p>
        </w:tc>
      </w:tr>
      <w:tr>
        <w:trPr>
          <w:trHeight w:val="234"/>
        </w:trPr>
        <w:tc>
          <w:tcPr>
            <w:tcW w:w="3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Holdings, Inc., the other Loan Parties party thereto, the Lenders parties thereto, and Citibank, N.A., as</w:t>
            </w:r>
          </w:p>
        </w:tc>
      </w:tr>
    </w:tbl>
    <w:p>
      <w:pPr>
        <w:ind w:left="3380"/>
        <w:spacing w:after="0" w:line="260" w:lineRule="auto"/>
        <w:rPr>
          <w:sz w:val="20"/>
          <w:szCs w:val="20"/>
          <w:color w:val="auto"/>
        </w:rPr>
      </w:pPr>
      <w:r>
        <w:rPr>
          <w:rFonts w:ascii="Times New Roman" w:cs="Times New Roman" w:eastAsia="Times New Roman" w:hAnsi="Times New Roman"/>
          <w:sz w:val="18"/>
          <w:szCs w:val="18"/>
          <w:color w:val="auto"/>
        </w:rPr>
        <w:t>Administrative Agent, as amended, restated, amended and restated, supplemented or otherwise modified from time to time.</w:t>
      </w:r>
    </w:p>
    <w:p>
      <w:pPr>
        <w:spacing w:after="0" w:line="181" w:lineRule="exact"/>
        <w:rPr>
          <w:sz w:val="20"/>
          <w:szCs w:val="20"/>
          <w:color w:val="auto"/>
        </w:rPr>
      </w:pPr>
    </w:p>
    <w:p>
      <w:pPr>
        <w:ind w:left="1140" w:hanging="565"/>
        <w:spacing w:after="0"/>
        <w:tabs>
          <w:tab w:leader="none" w:pos="11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Assigned Interest:</w:t>
      </w:r>
    </w:p>
    <w:p>
      <w:pPr>
        <w:spacing w:after="0" w:line="200" w:lineRule="exact"/>
        <w:rPr>
          <w:sz w:val="20"/>
          <w:szCs w:val="20"/>
          <w:color w:val="auto"/>
        </w:rPr>
      </w:pPr>
    </w:p>
    <w:p>
      <w:pPr>
        <w:spacing w:after="0" w:line="2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1" w:name="page132"/>
    <w:bookmarkEnd w:id="131"/>
    <w:tbl>
      <w:tblPr>
        <w:tblLayout w:type="fixed"/>
        <w:tblInd w:w="10" w:type="dxa"/>
        <w:tblCellMar>
          <w:top w:w="0" w:type="dxa"/>
          <w:left w:w="0" w:type="dxa"/>
          <w:bottom w:w="0" w:type="dxa"/>
          <w:right w:w="0" w:type="dxa"/>
        </w:tblCellMar>
      </w:tblPr>
      <w:tr>
        <w:trPr>
          <w:trHeight w:val="211"/>
        </w:trPr>
        <w:tc>
          <w:tcPr>
            <w:tcW w:w="2720" w:type="dxa"/>
            <w:vAlign w:val="bottom"/>
            <w:tcBorders>
              <w:top w:val="single" w:sz="8" w:color="auto"/>
              <w:left w:val="single" w:sz="8" w:color="auto"/>
              <w:right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20" w:type="dxa"/>
            <w:vAlign w:val="bottom"/>
            <w:tcBorders>
              <w:top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Aggregate Amount of</w:t>
            </w:r>
          </w:p>
        </w:tc>
        <w:tc>
          <w:tcPr>
            <w:tcW w:w="420" w:type="dxa"/>
            <w:vAlign w:val="bottom"/>
            <w:tcBorders>
              <w:top w:val="single" w:sz="8" w:color="auto"/>
            </w:tcBorders>
          </w:tcPr>
          <w:p>
            <w:pPr>
              <w:spacing w:after="0"/>
              <w:rPr>
                <w:sz w:val="18"/>
                <w:szCs w:val="18"/>
                <w:color w:val="auto"/>
              </w:rPr>
            </w:pPr>
          </w:p>
        </w:tc>
        <w:tc>
          <w:tcPr>
            <w:tcW w:w="2380" w:type="dxa"/>
            <w:vAlign w:val="bottom"/>
            <w:tcBorders>
              <w:top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Amount of</w:t>
            </w:r>
          </w:p>
        </w:tc>
        <w:tc>
          <w:tcPr>
            <w:tcW w:w="2680" w:type="dxa"/>
            <w:vAlign w:val="bottom"/>
            <w:tcBorders>
              <w:top w:val="single" w:sz="8" w:color="auto"/>
              <w:right w:val="single" w:sz="8" w:color="auto"/>
            </w:tcBorders>
          </w:tcPr>
          <w:p>
            <w:pPr>
              <w:spacing w:after="0"/>
              <w:rPr>
                <w:sz w:val="18"/>
                <w:szCs w:val="18"/>
                <w:color w:val="auto"/>
              </w:rPr>
            </w:pPr>
          </w:p>
        </w:tc>
      </w:tr>
      <w:tr>
        <w:trPr>
          <w:trHeight w:val="216"/>
        </w:trPr>
        <w:tc>
          <w:tcPr>
            <w:tcW w:w="272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620" w:type="dxa"/>
            <w:vAlign w:val="bottom"/>
            <w:tcBorders>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Commitment/Loans for</w:t>
            </w:r>
          </w:p>
        </w:tc>
        <w:tc>
          <w:tcPr>
            <w:tcW w:w="420" w:type="dxa"/>
            <w:vAlign w:val="bottom"/>
          </w:tcPr>
          <w:p>
            <w:pPr>
              <w:spacing w:after="0"/>
              <w:rPr>
                <w:sz w:val="18"/>
                <w:szCs w:val="18"/>
                <w:color w:val="auto"/>
              </w:rPr>
            </w:pPr>
          </w:p>
        </w:tc>
        <w:tc>
          <w:tcPr>
            <w:tcW w:w="2380" w:type="dxa"/>
            <w:vAlign w:val="bottom"/>
            <w:tcBorders>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Commitment/Loans</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Percentage Assigned of</w:t>
            </w:r>
          </w:p>
        </w:tc>
      </w:tr>
      <w:tr>
        <w:trPr>
          <w:trHeight w:val="234"/>
        </w:trPr>
        <w:tc>
          <w:tcPr>
            <w:tcW w:w="2720" w:type="dxa"/>
            <w:vAlign w:val="bottom"/>
            <w:tcBorders>
              <w:left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Facility Assigned</w:t>
            </w:r>
          </w:p>
        </w:tc>
        <w:tc>
          <w:tcPr>
            <w:tcW w:w="42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all Lenders</w:t>
            </w:r>
          </w:p>
        </w:tc>
        <w:tc>
          <w:tcPr>
            <w:tcW w:w="42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8"/>
              </w:rPr>
              <w:t>Assigned</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Commitment/Loans</w:t>
            </w:r>
          </w:p>
        </w:tc>
      </w:tr>
      <w:tr>
        <w:trPr>
          <w:trHeight w:val="209"/>
        </w:trPr>
        <w:tc>
          <w:tcPr>
            <w:tcW w:w="2720" w:type="dxa"/>
            <w:vAlign w:val="bottom"/>
            <w:tcBorders>
              <w:left w:val="single" w:sz="8" w:color="auto"/>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2720" w:type="dxa"/>
            <w:vAlign w:val="bottom"/>
            <w:tcBorders>
              <w:left w:val="single" w:sz="8" w:color="auto"/>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w:t>
            </w:r>
          </w:p>
        </w:tc>
      </w:tr>
      <w:tr>
        <w:trPr>
          <w:trHeight w:val="210"/>
        </w:trPr>
        <w:tc>
          <w:tcPr>
            <w:tcW w:w="2720" w:type="dxa"/>
            <w:vAlign w:val="bottom"/>
            <w:tcBorders>
              <w:left w:val="single" w:sz="8" w:color="auto"/>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_____________ ___, 20___ [TO BE INSERTED BY ADMINISTRATIVE AGENT AND WHICH SHALL BE THE EFFECTIVE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RECORDATION OF TRANSFER IN THE REGISTER THEREFOR.]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set forth in this Assignment and Assumption are hereby agreed to:</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ASSIGNOR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8890</wp:posOffset>
            </wp:positionV>
            <wp:extent cx="33515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ASSIGNEE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8890</wp:posOffset>
            </wp:positionV>
            <wp:extent cx="33515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t>Consented to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as</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LENDERS]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Exhibit A</w:t>
      </w:r>
    </w:p>
    <w:p>
      <w:pPr>
        <w:spacing w:after="0" w:line="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color w:val="auto"/>
        </w:rPr>
        <w:t>ANNEX 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STANDARD TERMS AND CONDITIONS FOR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ASSIGNMENT AND ASSUMPTION</w:t>
      </w:r>
    </w:p>
    <w:p>
      <w:pPr>
        <w:spacing w:after="0" w:line="191" w:lineRule="exact"/>
        <w:rPr>
          <w:sz w:val="20"/>
          <w:szCs w:val="20"/>
          <w:color w:val="auto"/>
        </w:rPr>
      </w:pPr>
    </w:p>
    <w:p>
      <w:pPr>
        <w:ind w:left="1520" w:hanging="864"/>
        <w:spacing w:after="0"/>
        <w:tabs>
          <w:tab w:leader="none" w:pos="15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Amended and Restated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The Assignee (a) represents and warrants (i) that it has full power and authority, and has taken all action necessary, to execute and deliver this Assignment and Assumption and to consummate the transactions contemplated hereby and to become a Lender under the Amended and Restated Credit Agreement, (ii) that it satisfies the requirements, if any, specified in the Amended and Restated Credit Agreement that are required to be satisfied by it in order to acquire the Assigned Interest and become a Lender, (iii) that from and after the Effective Date, it shall be bound by the provisions of the Amended and Restated Credit Agreement as a Lender thereunder and, to the extent of the Assigned Interest, shall have the obligations of a Lender thereunder, (iv) that it has received a copy of the Amended and Restated Credit Agreement, together with copies of the most recent financial statements delivered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(v) that if it is a Foreign Lender, attached to the Assignment and Assumption is any documentation required to be delivered by it pursuant to the terms of the Amended and Restated Credit Agreement, duly completed and executed by the Assignee, and (vi) to the Administrative Agent, the Lead Arrangers and their respective Affiliates, and not, for the avoidance of doubt, for the benefit of the Borrower or any other Loan Party, that from and after the Effective Date it is not and will not be (A) an employee benefit plan subject to Title I of ERISA, (B) a plan or account subject to Section 4975 of the Code, (C) an entity deemed to hold “plan assets” of any such plans or accounts for purposes of ERISA or the Code, or (D) a “governmental plan” within the meaning of ERISA;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93" w:lineRule="exact"/>
        <w:rPr>
          <w:sz w:val="20"/>
          <w:szCs w:val="20"/>
          <w:color w:val="auto"/>
        </w:rPr>
      </w:pPr>
    </w:p>
    <w:p>
      <w:pPr>
        <w:jc w:val="both"/>
        <w:ind w:firstLine="656"/>
        <w:spacing w:after="0" w:line="266" w:lineRule="auto"/>
        <w:tabs>
          <w:tab w:leader="none" w:pos="161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57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fax shall be effective as delivery of a manually executed counterpart of this Assignment and Assumption. This Assignment and Assumption shall be governed by, and construed in accordance with, the law of the State of New York.</w:t>
      </w:r>
    </w:p>
    <w:p>
      <w:pPr>
        <w:spacing w:after="0" w:line="39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COMPLIANCE CERTIFICATE</w:t>
      </w:r>
    </w:p>
    <w:p>
      <w:pPr>
        <w:sectPr>
          <w:pgSz w:w="11900" w:h="16838" w:orient="portrait"/>
          <w:cols w:equalWidth="0" w:num="1">
            <w:col w:w="11240"/>
          </w:cols>
          <w:pgMar w:left="320" w:top="904"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Lenders parties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Credit Agreement Described Below</w:t>
      </w:r>
    </w:p>
    <w:p>
      <w:pPr>
        <w:spacing w:after="0" w:line="200" w:lineRule="exact"/>
        <w:rPr>
          <w:sz w:val="20"/>
          <w:szCs w:val="20"/>
          <w:color w:val="auto"/>
        </w:rPr>
      </w:pPr>
    </w:p>
    <w:p>
      <w:pPr>
        <w:sectPr>
          <w:pgSz w:w="11900" w:h="16838" w:orient="portrait"/>
          <w:cols w:equalWidth="0" w:num="2">
            <w:col w:w="240" w:space="420"/>
            <w:col w:w="10580"/>
          </w:cols>
          <w:pgMar w:left="320" w:top="90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Compliance Certificate is furnished pursuant to that certain Amended and Restated Credit Agreement dated as of April 18, 2022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Amended and Restated Credit Agreement</w:t>
      </w:r>
      <w:r>
        <w:rPr>
          <w:rFonts w:ascii="Times New Roman" w:cs="Times New Roman" w:eastAsia="Times New Roman" w:hAnsi="Times New Roman"/>
          <w:sz w:val="18"/>
          <w:szCs w:val="18"/>
          <w:color w:val="auto"/>
        </w:rPr>
        <w:t>”) among ExlService Holdings,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the Lenders party thereto, the Issuing Banks party thereto and Citibank, N.A., as Administrative Agent for the Lenders. Unless otherwise defined herein, capitalized terms used in this Compliance Certificate have the meanings ascribed thereto in the Amended and Restated Credit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CERTIFIES THAT:</w:t>
      </w:r>
    </w:p>
    <w:p>
      <w:pPr>
        <w:spacing w:after="0" w:line="225" w:lineRule="exact"/>
        <w:rPr>
          <w:sz w:val="20"/>
          <w:szCs w:val="20"/>
          <w:color w:val="auto"/>
        </w:rPr>
      </w:pPr>
    </w:p>
    <w:p>
      <w:pPr>
        <w:ind w:left="1460" w:hanging="804"/>
        <w:spacing w:after="0"/>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duly elected [●] of the Borrower;</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166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the terms of the Amended and Restated Credit Agreement and I have made, or have caused to be made under my supervision, a detailed review of the transactions and conditions of the Borrower and its Subsidiaries during the accounting period covered by the attached financial statements [</w:t>
      </w:r>
      <w:r>
        <w:rPr>
          <w:rFonts w:ascii="Times New Roman" w:cs="Times New Roman" w:eastAsia="Times New Roman" w:hAnsi="Times New Roman"/>
          <w:sz w:val="18"/>
          <w:szCs w:val="18"/>
          <w:b w:val="1"/>
          <w:bCs w:val="1"/>
          <w:color w:val="auto"/>
        </w:rPr>
        <w:t>for quarterly financial statements add:</w:t>
      </w:r>
      <w:r>
        <w:rPr>
          <w:rFonts w:ascii="Times New Roman" w:cs="Times New Roman" w:eastAsia="Times New Roman" w:hAnsi="Times New Roman"/>
          <w:sz w:val="18"/>
          <w:szCs w:val="18"/>
          <w:color w:val="auto"/>
        </w:rPr>
        <w:t xml:space="preserve"> and such financial statements present fairly in all material respects the financial condition and results of operations of the Borrower and its consolidated Subsidiaries on a consolidated basis in accordance with GAAP consistently applied, subject to normal year-end audit adjustments and the absence of footnotes] [</w:t>
      </w:r>
      <w:r>
        <w:rPr>
          <w:rFonts w:ascii="Times New Roman" w:cs="Times New Roman" w:eastAsia="Times New Roman" w:hAnsi="Times New Roman"/>
          <w:sz w:val="18"/>
          <w:szCs w:val="18"/>
          <w:b w:val="1"/>
          <w:bCs w:val="1"/>
          <w:color w:val="auto"/>
        </w:rPr>
        <w:t>for annual financial statements add:</w:t>
      </w:r>
      <w:r>
        <w:rPr>
          <w:rFonts w:ascii="Times New Roman" w:cs="Times New Roman" w:eastAsia="Times New Roman" w:hAnsi="Times New Roman"/>
          <w:sz w:val="18"/>
          <w:szCs w:val="18"/>
          <w:color w:val="auto"/>
        </w:rPr>
        <w:t xml:space="preserve"> and such financial statements present fairly in all material respects the financial condition and results of operations of the Borrower and its consolidated Subsidiaries on a consolidating basis in accordance with GAAP consistently applied];</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51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examinations described in paragraph 2 did not disclose, except as set forth below, and I have no knowledge of (i) the existence of any condition or event which constitutes a Default during or at the end of the accounting period covered by the attached financial statements or as of the date of this Certificate or (ii) any change in GAAP or in the application thereof that has occurred since [December 31, 2021] [the end date of the financial statements most recently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of the Credit Agreement];</w:t>
      </w:r>
    </w:p>
    <w:p>
      <w:pPr>
        <w:spacing w:after="0" w:line="179" w:lineRule="exact"/>
        <w:rPr>
          <w:rFonts w:ascii="Times New Roman" w:cs="Times New Roman" w:eastAsia="Times New Roman" w:hAnsi="Times New Roman"/>
          <w:sz w:val="18"/>
          <w:szCs w:val="18"/>
          <w:color w:val="auto"/>
        </w:rPr>
      </w:pPr>
    </w:p>
    <w:p>
      <w:pPr>
        <w:jc w:val="both"/>
        <w:ind w:right="20" w:firstLine="656"/>
        <w:spacing w:after="0" w:line="282" w:lineRule="auto"/>
        <w:tabs>
          <w:tab w:leader="none" w:pos="148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hereby certify that no Loan Party has changed (i) its name, (ii) its chief executive office, (iii) principal place of business, (iv) the type of entity it is or (v) its state of incorporation or organization without having given the Agent the notice required by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of the Security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sets forth financial data and computations evidencing the Borrower’s compliance with the Financial Covenants and </w:t>
      </w:r>
      <w:r>
        <w:rPr>
          <w:rFonts w:ascii="Times New Roman" w:cs="Times New Roman" w:eastAsia="Times New Roman" w:hAnsi="Times New Roman"/>
          <w:sz w:val="18"/>
          <w:szCs w:val="18"/>
          <w:u w:val="single" w:color="auto"/>
          <w:color w:val="auto"/>
        </w:rPr>
        <w:t>Sections 6.11(a)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Credit Agreement, all of which data and computations are true, complete and correct; and</w:t>
      </w:r>
    </w:p>
    <w:p>
      <w:pPr>
        <w:spacing w:after="0" w:line="161" w:lineRule="exact"/>
        <w:rPr>
          <w:rFonts w:ascii="Times New Roman" w:cs="Times New Roman" w:eastAsia="Times New Roman" w:hAnsi="Times New Roman"/>
          <w:sz w:val="18"/>
          <w:szCs w:val="18"/>
          <w:color w:val="auto"/>
        </w:rPr>
      </w:pPr>
    </w:p>
    <w:p>
      <w:pPr>
        <w:ind w:left="1720" w:hanging="1064"/>
        <w:spacing w:after="0"/>
        <w:tabs>
          <w:tab w:leader="none" w:pos="17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sets forth the computations necessary to determine the Applicable Rate commencing on the Business Day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is delivered.</w:t>
      </w:r>
    </w:p>
    <w:p>
      <w:pPr>
        <w:spacing w:after="0" w:line="200" w:lineRule="exact"/>
        <w:rPr>
          <w:sz w:val="20"/>
          <w:szCs w:val="20"/>
          <w:color w:val="auto"/>
        </w:rPr>
      </w:pPr>
    </w:p>
    <w:p>
      <w:pPr>
        <w:spacing w:after="0" w:line="2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Exhibit B</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35" w:name="page136"/>
    <w:bookmarkEnd w:id="1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Described below are the exceptions, if any, to paragraph 3 by listing, in detail, the (i) nature of the condition or event, the period during which it has existed and the action which the Borrower has taken, is taking, or proposes to take with respect to each such condition or event or (i) the change in GAAP or the application thereof and the effect of such change on the attached financial statements: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Exhibit B</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certifications, together with the computations set forth in Schedule I and Schedule II hereto and the financial statements delivered with this Certificate in support hereof, are made and delivered as of the first date written above.</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8890</wp:posOffset>
            </wp:positionV>
            <wp:extent cx="33515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Exhibit B</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color w:val="auto"/>
        </w:rPr>
        <w:t>SCHEDULE I</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Compliance as of _________, ____ with</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the Financial Covenants</w:t>
      </w:r>
    </w:p>
    <w:p>
      <w:pPr>
        <w:spacing w:after="0" w:line="200" w:lineRule="exact"/>
        <w:rPr>
          <w:sz w:val="20"/>
          <w:szCs w:val="20"/>
          <w:color w:val="auto"/>
        </w:rPr>
      </w:pPr>
    </w:p>
    <w:p>
      <w:pPr>
        <w:spacing w:after="0" w:line="2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Exhibit B</w:t>
      </w:r>
    </w:p>
    <w:p>
      <w:pPr>
        <w:spacing w:after="0" w:line="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color w:val="auto"/>
        </w:rPr>
        <w:t>SCHEDULE II</w:t>
      </w:r>
    </w:p>
    <w:p>
      <w:pPr>
        <w:spacing w:after="0" w:line="22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Borrower’s Applicable Rate Calculation</w:t>
      </w: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Exhibit B</w:t>
      </w:r>
    </w:p>
    <w:p>
      <w:pPr>
        <w:spacing w:after="0" w:line="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JOINDER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JOINDER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 is entered into between [●], a [●] (the “</w:t>
      </w:r>
      <w:r>
        <w:rPr>
          <w:rFonts w:ascii="Times New Roman" w:cs="Times New Roman" w:eastAsia="Times New Roman" w:hAnsi="Times New Roman"/>
          <w:sz w:val="18"/>
          <w:szCs w:val="18"/>
          <w:u w:val="single" w:color="auto"/>
          <w:color w:val="auto"/>
        </w:rPr>
        <w:t>New Subsidiary</w:t>
      </w:r>
      <w:r>
        <w:rPr>
          <w:rFonts w:ascii="Times New Roman" w:cs="Times New Roman" w:eastAsia="Times New Roman" w:hAnsi="Times New Roman"/>
          <w:sz w:val="18"/>
          <w:szCs w:val="18"/>
          <w:color w:val="auto"/>
        </w:rPr>
        <w:t>”) and CITIBANK, N.A., in its capacity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under that certain Amended and Restated Credit Agreement, dated as of April 18, 2022 among ExlService Holdings,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Loan Parties party thereto, the Lenders party thereto and the Administrative Agent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Amended and Restated Credit Agreement</w:t>
      </w:r>
      <w:r>
        <w:rPr>
          <w:rFonts w:ascii="Times New Roman" w:cs="Times New Roman" w:eastAsia="Times New Roman" w:hAnsi="Times New Roman"/>
          <w:sz w:val="18"/>
          <w:szCs w:val="18"/>
          <w:color w:val="auto"/>
        </w:rPr>
        <w:t>”). All capitalized terms used herein and not otherwise defined shall have the meanings set forth in the Credit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New Subsidiary and the Administrative Agent, for the benefit of the Lenders, hereby agree as follows:</w:t>
      </w:r>
    </w:p>
    <w:p>
      <w:pPr>
        <w:spacing w:after="0" w:line="225" w:lineRule="exact"/>
        <w:rPr>
          <w:sz w:val="20"/>
          <w:szCs w:val="20"/>
          <w:color w:val="auto"/>
        </w:rPr>
      </w:pPr>
    </w:p>
    <w:p>
      <w:pPr>
        <w:jc w:val="both"/>
        <w:ind w:firstLine="656"/>
        <w:spacing w:after="0" w:line="252" w:lineRule="auto"/>
        <w:tabs>
          <w:tab w:leader="none" w:pos="155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New Subsidiary hereby acknowledges, agrees and confirms that, by its execution of this Agreement, the New Subsidiary will be deemed to be a Loan Party under the Amended and Restated Credit Agreement and a “Loan Guarantor” for all purposes of the Amended and Restated Credit Agreement and shall have all of the obligations of a Loan Party and a Loan Guarantor thereunder as if it had executed the Amended and Restated Credit Agreement. The New Subsidiary hereby ratifies, as of the date hereof, and agrees to be bound by, all of the terms, provisions and conditions contained in the Amended and Restated Credit Agreement, including without limitation (a) all of the representations and warranties of the Loan Parties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the Amended and Restated Credit Agreement,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 all of the covenants set forth in </w:t>
      </w:r>
      <w:r>
        <w:rPr>
          <w:rFonts w:ascii="Times New Roman" w:cs="Times New Roman" w:eastAsia="Times New Roman" w:hAnsi="Times New Roman"/>
          <w:sz w:val="18"/>
          <w:szCs w:val="18"/>
          <w:u w:val="single" w:color="auto"/>
          <w:color w:val="auto"/>
        </w:rPr>
        <w:t>Articles 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of the Amended and Restated Credit Agreement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and (c) all of the guaranty obligations set forth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the Amended and Restated Credit Agreement. Without limiting the generality of the foregoing terms of this paragraph 1, the New Subsidiary, subject to the limitations set forth in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of the Amended and Restated Credit Agreement, hereby guarantees, jointly and severally with the other Loan Guarantors, to the Administrative Agent and the Lenders, as provided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the Amended and Restated Credit Agreement, the prompt payment and performance of the Guaranteed Obligations in full when due (whether at stated maturity, as a mandatory prepayment, by acceleration or otherwise) strictly in accordance with the terms thereof and agrees that if any of the Guaranteed Obligations are not paid or performed in full when due (whether at stated maturity, as a mandatory prepayment, by acceleration or otherwise), the New Subsidiary will, jointly and severally together with the other Loan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The New Subsidiary has delivered to the Administrative Agent an executed Loan Guaranty.</w:t>
      </w:r>
      <w:r>
        <w:rPr>
          <w:rFonts w:ascii="Times New Roman" w:cs="Times New Roman" w:eastAsia="Times New Roman" w:hAnsi="Times New Roman"/>
          <w:sz w:val="18"/>
          <w:szCs w:val="18"/>
          <w:b w:val="1"/>
          <w:bCs w:val="1"/>
          <w:color w:val="auto"/>
        </w:rPr>
        <w:t>]*</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169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the New Subsidiary is, simultaneously with the execution of this Agreement, executing and delivering such Collateral Documents (and such other documents and instruments) as requested by the Administrative Agent in accordance with the Amended and Restated Credit Agreement.</w:t>
      </w:r>
    </w:p>
    <w:p>
      <w:pPr>
        <w:spacing w:after="0" w:line="175"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address of the New Subsidiary for purposes of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of the Amended and Restated Credit Agreement is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Exhibit C</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ind w:firstLine="656"/>
        <w:spacing w:after="0" w:line="282" w:lineRule="auto"/>
        <w:tabs>
          <w:tab w:leader="none" w:pos="156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Subsidiary hereby waives acceptance by the Administrative Agent and the Lenders of the guaranty by the New Subsidiary upon the execution of this Agreement by the New Subsidiary.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5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each of which when so executed and delivered shall be an original, but all of which shall constitute one and the same instrument.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7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AND OBLIGATIONS OF THE PARTIES HEREUNDER SHALL BE GOVERNED BY AND CONSTRUED AND INTERPRETED IN ACCORDANCE WITH THE LAWS OF THE STATE OF NEW YORK.</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New Subsidiary has caused this Agreement to be duly executed by its authorized officer, and the Administrative Agent, for the benefit of the Lenders, has caused the same to be accepted by its authorized officer, as of the day and year first above written.</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[NEW SUBSIDIARY]</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8890</wp:posOffset>
            </wp:positionV>
            <wp:extent cx="33515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Acknowledged and accepted: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CITIBANK, N.A., as Administrative Agent</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8890</wp:posOffset>
            </wp:positionV>
            <wp:extent cx="33515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Exhibit C</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SOLVENCY CERTIFICATE</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undersigned, being the [●] of EXLSERVICE HOLDINGS, INC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pursuant to that certain Amended and Restated Credit Agreement, dated as of April 18, 2022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Amended and Restated Credit Agreement</w:t>
      </w:r>
      <w:r>
        <w:rPr>
          <w:rFonts w:ascii="Times New Roman" w:cs="Times New Roman" w:eastAsia="Times New Roman" w:hAnsi="Times New Roman"/>
          <w:sz w:val="18"/>
          <w:szCs w:val="18"/>
          <w:color w:val="auto"/>
        </w:rPr>
        <w:t>”; capitalized terms not defined herein shall have the meanings set forth in the Amended and Restated Credit Agreement), between Borrower, the other Loan Parties thereto, the Lenders party thereto and CITIBANK, N.A., as Administrative Agent, DOES HEREBY CERTIFY on behalf of Borrower that:</w:t>
      </w:r>
    </w:p>
    <w:p>
      <w:pPr>
        <w:spacing w:after="0" w:line="183" w:lineRule="exact"/>
        <w:rPr>
          <w:sz w:val="20"/>
          <w:szCs w:val="20"/>
          <w:color w:val="auto"/>
        </w:rPr>
      </w:pPr>
    </w:p>
    <w:p>
      <w:pPr>
        <w:ind w:left="1640" w:hanging="984"/>
        <w:spacing w:after="0"/>
        <w:tabs>
          <w:tab w:leader="none" w:pos="16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familiar with the properties, business and assets of the Borrower and am authorized to execute this Certificate on behalf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66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carefully reviewed the contents of this Certificate and have made such investigations and inquiries as I deem necessary and prudent in connection with the matters set forth herein. Among other things, I have reviewed the Amended and Restated Credit Agreement, together with the other Loan Documents executed or to be executed by the Borrower pursuant to the Amended and Restated Credit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57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Certificate: (a) the term “Transactions” means (1) the fulfillment of all conditions precedent to the Loans being made under the Amended and Restated Credit Agreement and the funding of such Loans, and (2) the execution and delivery of all Loan Documents under the Amended and Restated Credit Agreement in connection with such Loans, and (b) the term “indebtedness” means all obligations and liabilities of Borrower and its Subsidiaries, whether matured or unmatured, liquidated or unliquidated, disputed or undisputed, secured or unsecured, subordinated, absolute, fixed or contingent. For purposes of the definition of “indebtedness,”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45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assuming each of the Transactions is consummated on and as of the date hereof and taking into account the effect thereof, it is my opinion that:</w:t>
      </w:r>
    </w:p>
    <w:p>
      <w:pPr>
        <w:spacing w:after="0" w:line="161" w:lineRule="exact"/>
        <w:rPr>
          <w:rFonts w:ascii="Times New Roman" w:cs="Times New Roman" w:eastAsia="Times New Roman" w:hAnsi="Times New Roman"/>
          <w:sz w:val="18"/>
          <w:szCs w:val="18"/>
          <w:color w:val="auto"/>
        </w:rPr>
      </w:pPr>
    </w:p>
    <w:p>
      <w:pPr>
        <w:ind w:left="2460" w:hanging="1156"/>
        <w:spacing w:after="0"/>
        <w:tabs>
          <w:tab w:leader="none" w:pos="24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assets and property of the Borrower and its Subsidiaries on a consolidated basis exceeds the total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their indebtedness;</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2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going concern basis, the present fair saleable value of the assets and property of the Borrower and its Subsidiaries on a consolidated basis exceeds the amount that will be required to pay the probable liability of the Borrower and its Subsidiaries’ indebtedness as such indebtedness becomes absolute and matured;</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2269"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on a consolidated basis are able to realize upon their assets and pay their indebtedness as such indebtedness matures in the normal course of business; and</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2234"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on a consolidated basis do not have an unreasonably small capital nor will be left with an unreasonably small capital to conduct their business.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52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consummating the Transactions contemplated by the Amended and Restated Credit Agreement, to the best of my knowledge (after due inquiry), the Borrower and its Subsidiaries on a consolidated basis do not intend to disturb, delay, hinder or defraud either present or future creditors or other persons to which they are or will become, on or after the date hereof, indebted.</w:t>
      </w:r>
    </w:p>
    <w:p>
      <w:pPr>
        <w:spacing w:after="0" w:line="39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Exhibit D</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Certificate this [●] day of April, 2022.</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EXLSERVICE HOLDINGS, INC.</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8890</wp:posOffset>
            </wp:positionV>
            <wp:extent cx="33515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Exhibit D</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5715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color w:val="auto"/>
        </w:rPr>
        <w:t>EXHIBIT E-1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Not Partnerships For U.S. Federal Income Tax Purposes)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hereby made to the Amended and Restated Credit Agreement dated as of April 18, 2022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Amended and Restated Credit Agreement</w:t>
      </w:r>
      <w:r>
        <w:rPr>
          <w:rFonts w:ascii="Times New Roman" w:cs="Times New Roman" w:eastAsia="Times New Roman" w:hAnsi="Times New Roman"/>
          <w:sz w:val="18"/>
          <w:szCs w:val="18"/>
          <w:color w:val="auto"/>
        </w:rPr>
        <w:t>”) among _______________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party thereto, the Lenders party thereto and Citibank, N.A., in its capacity as Administrative Agent for the Lenders.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of the Amended and Restated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(3)(B) of the Code and (iv) it is not a controlled foreign corporation related to the Borrower as described in Section 881(c)(3)(C) of the Code.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with a certificate of its non-U.S. Person status on IRS Form W-8BEN or W-8BEN-E.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Amended and Restated Credit Agreement and used herein shall have the meanings given to them in the Amended and Restated Credit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Exhibit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color w:val="auto"/>
        </w:rPr>
        <w:t>EXHIBIT E-2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Not Partnerships For U.S. Federal Income Tax Purposes)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hereby made to the Credit Agreement Amended and Restated dated as of April 18, 2022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Amended and Restated Credit Agreement</w:t>
      </w:r>
      <w:r>
        <w:rPr>
          <w:rFonts w:ascii="Times New Roman" w:cs="Times New Roman" w:eastAsia="Times New Roman" w:hAnsi="Times New Roman"/>
          <w:sz w:val="18"/>
          <w:szCs w:val="18"/>
          <w:color w:val="auto"/>
        </w:rPr>
        <w:t>”) among _______________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party thereto, the Lenders party thereto and Citibank, N.A., in its capacity as Administrative Agent for the Lenders.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of the Amended and Restated Credit Agreement, the undersigned hereby certifies that (i) it is the sole record and beneficial owner of the participation in respect of which it is providing this certificate, (ii) it is not a bank within the meaning of Section 881(c)</w:t>
      </w:r>
    </w:p>
    <w:p>
      <w:pPr>
        <w:jc w:val="both"/>
        <w:spacing w:after="0" w:line="260" w:lineRule="auto"/>
        <w:rPr>
          <w:sz w:val="20"/>
          <w:szCs w:val="20"/>
          <w:color w:val="auto"/>
        </w:rPr>
      </w:pPr>
      <w:r>
        <w:rPr>
          <w:rFonts w:ascii="Times New Roman" w:cs="Times New Roman" w:eastAsia="Times New Roman" w:hAnsi="Times New Roman"/>
          <w:sz w:val="18"/>
          <w:szCs w:val="18"/>
          <w:color w:val="auto"/>
        </w:rPr>
        <w:t>(3)(A) of the Code, (iii) it is not a ten percent shareholder of the Borrower within the meaning of Section 871(h)(3)(B) of the Code, and (iv) it is not a controlled foreign corporation related to the Borrower as described in Section 881(c)(3)(C) of the Code.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 or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Amended and Restated Credit Agreement and used herein shall have the meanings given to them in the Amended and Restated Credit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Exhibit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color w:val="auto"/>
        </w:rPr>
        <w:t>EXHIBIT E-3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Partnerships For U.S. Federal Income Tax Purposes)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hereby made to the Amended and Restated Credit Agreement dated as of April 18, 2022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_______________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party thereto, the Lenders party thereto and Citibank, N.A., in its capacity as Administrative Agent for the Lenders.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of the Amended and Restated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Amended and Restated Credit Agreement and used herein shall have the meanings given to them in the Amended and Restated Credit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color w:val="auto"/>
        </w:rPr>
        <w:t>EXHIBIT E-4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Partnerships For U.S. Federal Income Tax Purposes)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hereby made to the Amended and Restated Credit Agreement dated as of April 18, 2022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_____________________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party thereto, the Lenders party thereto and Citibank, N.A., in its capacity as Administrative Agent for the Lenders.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of the Amended and Restated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Amended and Restated Credit Agreement and used herein shall have the meanings given to them in the Amended and Restated Credit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color w:val="auto"/>
        </w:rPr>
        <w:t>EXHIBIT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BORROWING REQUEST</w:t>
      </w: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_____________ 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05" w:lineRule="auto"/>
        <w:rPr>
          <w:sz w:val="20"/>
          <w:szCs w:val="20"/>
          <w:color w:val="auto"/>
        </w:rPr>
      </w:pPr>
      <w:r>
        <w:rPr>
          <w:rFonts w:ascii="Times New Roman" w:cs="Times New Roman" w:eastAsia="Times New Roman" w:hAnsi="Times New Roman"/>
          <w:sz w:val="18"/>
          <w:szCs w:val="18"/>
          <w:color w:val="auto"/>
        </w:rPr>
        <w:t>388 Greenwich Street,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Linda Tam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borrowing request (this “</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is furnished pursuant to Section 2.03 of that certain Amended and Restated Credit Agreement, dated as of April 18, 2022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Amended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Restated Credit Agreement</w:t>
      </w:r>
      <w:r>
        <w:rPr>
          <w:rFonts w:ascii="Times New Roman" w:cs="Times New Roman" w:eastAsia="Times New Roman" w:hAnsi="Times New Roman"/>
          <w:sz w:val="18"/>
          <w:szCs w:val="18"/>
          <w:color w:val="auto"/>
        </w:rPr>
        <w:t>”) among EXLSERVICE HOLDINGS,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party thereto, the Lenders party thereto, and Citibank, N.A. as Administrative Agent for the Lenders. Unless otherwise defined herein, capitalized terms used in this Borrowing Request have the meanings ascribed thereto in the Amended and Restated Credit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hereby notifies the Administrative Agent of its request for the following Borrowing (the “</w:t>
      </w:r>
      <w:r>
        <w:rPr>
          <w:rFonts w:ascii="Times New Roman" w:cs="Times New Roman" w:eastAsia="Times New Roman" w:hAnsi="Times New Roman"/>
          <w:sz w:val="18"/>
          <w:szCs w:val="18"/>
          <w:u w:val="single" w:color="auto"/>
          <w:color w:val="auto"/>
        </w:rPr>
        <w:t>Proposed Borrowing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580" w:hanging="924"/>
        <w:spacing w:after="0"/>
        <w:tabs>
          <w:tab w:leader="none" w:pos="15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Aggregate principal amount of Borrowing: </w:t>
      </w:r>
      <w:r>
        <w:rPr>
          <w:rFonts w:ascii="Times New Roman" w:cs="Times New Roman" w:eastAsia="Times New Roman" w:hAnsi="Times New Roman"/>
          <w:sz w:val="18"/>
          <w:szCs w:val="18"/>
          <w:b w:val="1"/>
          <w:bCs w:val="1"/>
          <w:color w:val="auto"/>
        </w:rPr>
        <w:t>$[_____]</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139" w:lineRule="exact"/>
        <w:rPr>
          <w:rFonts w:ascii="Times New Roman" w:cs="Times New Roman" w:eastAsia="Times New Roman" w:hAnsi="Times New Roman"/>
          <w:sz w:val="18"/>
          <w:szCs w:val="18"/>
          <w:color w:val="auto"/>
        </w:rPr>
      </w:pPr>
    </w:p>
    <w:p>
      <w:pPr>
        <w:ind w:left="1580" w:hanging="924"/>
        <w:spacing w:after="0"/>
        <w:tabs>
          <w:tab w:leader="none" w:pos="15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Borrowing shall be a </w:t>
      </w:r>
      <w:r>
        <w:rPr>
          <w:rFonts w:ascii="Times New Roman" w:cs="Times New Roman" w:eastAsia="Times New Roman" w:hAnsi="Times New Roman"/>
          <w:sz w:val="18"/>
          <w:szCs w:val="18"/>
          <w:b w:val="1"/>
          <w:bCs w:val="1"/>
          <w:color w:val="auto"/>
        </w:rPr>
        <w:t>[_____]</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135" w:lineRule="exact"/>
        <w:rPr>
          <w:rFonts w:ascii="Times New Roman" w:cs="Times New Roman" w:eastAsia="Times New Roman" w:hAnsi="Times New Roman"/>
          <w:sz w:val="18"/>
          <w:szCs w:val="18"/>
          <w:color w:val="auto"/>
        </w:rPr>
      </w:pPr>
    </w:p>
    <w:p>
      <w:pPr>
        <w:ind w:left="1580" w:hanging="924"/>
        <w:spacing w:after="0"/>
        <w:tabs>
          <w:tab w:leader="none" w:pos="15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of the Proposed Borrowing (must be a Business Day): </w:t>
      </w:r>
      <w:r>
        <w:rPr>
          <w:rFonts w:ascii="Times New Roman" w:cs="Times New Roman" w:eastAsia="Times New Roman" w:hAnsi="Times New Roman"/>
          <w:sz w:val="18"/>
          <w:szCs w:val="18"/>
          <w:b w:val="1"/>
          <w:bCs w:val="1"/>
          <w:color w:val="auto"/>
        </w:rPr>
        <w:t>[_____]</w:t>
      </w:r>
      <w:r>
        <w:rPr>
          <w:rFonts w:ascii="Times New Roman" w:cs="Times New Roman" w:eastAsia="Times New Roman" w:hAnsi="Times New Roman"/>
          <w:sz w:val="29"/>
          <w:szCs w:val="29"/>
          <w:b w:val="1"/>
          <w:bCs w:val="1"/>
          <w:color w:val="auto"/>
          <w:vertAlign w:val="superscript"/>
        </w:rPr>
        <w:t>3</w:t>
      </w:r>
      <w:r>
        <w:rPr>
          <w:rFonts w:ascii="Times New Roman" w:cs="Times New Roman" w:eastAsia="Times New Roman" w:hAnsi="Times New Roman"/>
          <w:sz w:val="18"/>
          <w:szCs w:val="18"/>
          <w:color w:val="auto"/>
        </w:rPr>
        <w:t>.</w:t>
      </w:r>
    </w:p>
    <w:p>
      <w:pPr>
        <w:spacing w:after="0" w:line="139" w:lineRule="exact"/>
        <w:rPr>
          <w:rFonts w:ascii="Times New Roman" w:cs="Times New Roman" w:eastAsia="Times New Roman" w:hAnsi="Times New Roman"/>
          <w:sz w:val="18"/>
          <w:szCs w:val="18"/>
          <w:color w:val="auto"/>
        </w:rPr>
      </w:pPr>
    </w:p>
    <w:p>
      <w:pPr>
        <w:ind w:left="1580" w:hanging="924"/>
        <w:spacing w:after="0"/>
        <w:tabs>
          <w:tab w:leader="none" w:pos="15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Term SOFR Borrowing, the duration of Interest Period shall be: </w:t>
      </w:r>
      <w:r>
        <w:rPr>
          <w:rFonts w:ascii="Times New Roman" w:cs="Times New Roman" w:eastAsia="Times New Roman" w:hAnsi="Times New Roman"/>
          <w:sz w:val="18"/>
          <w:szCs w:val="18"/>
          <w:b w:val="1"/>
          <w:bCs w:val="1"/>
          <w:color w:val="auto"/>
        </w:rPr>
        <w:t>[_____]</w:t>
      </w:r>
      <w:r>
        <w:rPr>
          <w:rFonts w:ascii="Times New Roman" w:cs="Times New Roman" w:eastAsia="Times New Roman" w:hAnsi="Times New Roman"/>
          <w:sz w:val="29"/>
          <w:szCs w:val="29"/>
          <w:b w:val="1"/>
          <w:bCs w:val="1"/>
          <w:color w:val="auto"/>
          <w:vertAlign w:val="superscript"/>
        </w:rPr>
        <w:t>4</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Borrower hereby directs the Administrative Agent to disburse all proceeds of the Proposed Borrowing on the Borrowing Date specified above by wire transfer to the account indicated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7830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6" w:lineRule="exact"/>
        <w:rPr>
          <w:sz w:val="20"/>
          <w:szCs w:val="20"/>
          <w:color w:val="auto"/>
        </w:rPr>
      </w:pPr>
    </w:p>
    <w:p>
      <w:pPr>
        <w:ind w:left="120" w:hanging="112"/>
        <w:spacing w:after="0"/>
        <w:tabs>
          <w:tab w:leader="none" w:pos="120" w:val="left"/>
        </w:tabs>
        <w:numPr>
          <w:ilvl w:val="0"/>
          <w:numId w:val="1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of the Credit Agreement.</w:t>
      </w:r>
    </w:p>
    <w:p>
      <w:pPr>
        <w:spacing w:after="0" w:line="238" w:lineRule="exact"/>
        <w:rPr>
          <w:sz w:val="20"/>
          <w:szCs w:val="20"/>
          <w:color w:val="auto"/>
        </w:rPr>
      </w:pPr>
    </w:p>
    <w:p>
      <w:pPr>
        <w:ind w:right="20" w:firstLine="8"/>
        <w:spacing w:after="0" w:line="195" w:lineRule="auto"/>
        <w:tabs>
          <w:tab w:leader="none" w:pos="147" w:val="left"/>
        </w:tabs>
        <w:numPr>
          <w:ilvl w:val="0"/>
          <w:numId w:val="1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State whether a Term SOFR Borrowing or ABR Borrowing. If no Type of Borrowing is specified, then the requested Borrowing shall be an ABR Borrowing.</w:t>
      </w:r>
    </w:p>
    <w:p>
      <w:pPr>
        <w:spacing w:after="0" w:line="240" w:lineRule="exact"/>
        <w:rPr>
          <w:sz w:val="20"/>
          <w:szCs w:val="20"/>
          <w:color w:val="auto"/>
        </w:rPr>
      </w:pPr>
    </w:p>
    <w:p>
      <w:pPr>
        <w:jc w:val="both"/>
        <w:ind w:firstLine="8"/>
        <w:spacing w:after="0" w:line="224" w:lineRule="auto"/>
        <w:tabs>
          <w:tab w:leader="none" w:pos="117" w:val="left"/>
        </w:tabs>
        <w:numPr>
          <w:ilvl w:val="0"/>
          <w:numId w:val="1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Administrative Agent must be notified in writing by hand delivery, fax or other electronic transmission (including “.pdf” or “.tif”) not later than (a) in the case of a Term SOFR Borrowing, not later than 11:00 a.m., New York City time, three Business Days before the date of the Proposed Borrowing or (b) in the case of an ABR Borrowing, not later than 1:00 p.m., New York City time, on the date of the Proposed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notice of an ABR Borrowing to finance the reimbursement of an LC Disbursement as contemplated by Section 2.06(e) of the Amended and Restated Credit Agreement may be given not later than 10:00 a.m., New York City time, on the date of the Proposed Borrowing.</w:t>
      </w:r>
    </w:p>
    <w:p>
      <w:pPr>
        <w:spacing w:after="0" w:line="242" w:lineRule="exact"/>
        <w:rPr>
          <w:sz w:val="20"/>
          <w:szCs w:val="20"/>
          <w:color w:val="auto"/>
        </w:rPr>
      </w:pPr>
    </w:p>
    <w:p>
      <w:pPr>
        <w:ind w:firstLine="8"/>
        <w:spacing w:after="0" w:line="195" w:lineRule="auto"/>
        <w:tabs>
          <w:tab w:leader="none" w:pos="132" w:val="left"/>
        </w:tabs>
        <w:numPr>
          <w:ilvl w:val="0"/>
          <w:numId w:val="1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Must be a period contemplated by the definition of “Interest Period”. If no Interest Period is specified, then the Interest Period shall be of one-month’s duration.</w:t>
      </w:r>
    </w:p>
    <w:p>
      <w:pPr>
        <w:spacing w:after="0" w:line="200" w:lineRule="exact"/>
        <w:rPr>
          <w:sz w:val="20"/>
          <w:szCs w:val="20"/>
          <w:color w:val="auto"/>
        </w:rPr>
      </w:pPr>
    </w:p>
    <w:p>
      <w:pPr>
        <w:spacing w:after="0" w:line="2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Exhibit F</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auto"/>
        </w:rPr>
        <w:t>The Borrower certifies that the following statements are true on the date hereof, and will be true on the date of the Proposed Borrowing:</w:t>
      </w:r>
    </w:p>
    <w:p>
      <w:pPr>
        <w:spacing w:after="0" w:line="225" w:lineRule="exact"/>
        <w:rPr>
          <w:sz w:val="20"/>
          <w:szCs w:val="20"/>
          <w:color w:val="auto"/>
        </w:rPr>
      </w:pPr>
    </w:p>
    <w:p>
      <w:pPr>
        <w:jc w:val="both"/>
        <w:ind w:left="80" w:firstLine="1293"/>
        <w:spacing w:after="0" w:line="258" w:lineRule="auto"/>
        <w:tabs>
          <w:tab w:leader="none" w:pos="229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Borrower set forth in the Amended and Restated Credit Agreement are true and correct in all material respects on and as of the date of the Proposed Borrowing with the same effect as though such representations and warranties had been made on and as of the date of such Borrowing, except that (i) to the extent that such representations and warranties specifically refer to an earlier date, such representations and warranties are true and correct in all material respects as of such earlier date, and (ii) any representation and warranty that is qualified as to “materiality” or “Material Adverse Effect” are true and correct in all respects.</w:t>
      </w:r>
    </w:p>
    <w:p>
      <w:pPr>
        <w:spacing w:after="0" w:line="183" w:lineRule="exact"/>
        <w:rPr>
          <w:rFonts w:ascii="Times New Roman" w:cs="Times New Roman" w:eastAsia="Times New Roman" w:hAnsi="Times New Roman"/>
          <w:sz w:val="18"/>
          <w:szCs w:val="18"/>
          <w:color w:val="auto"/>
        </w:rPr>
      </w:pPr>
    </w:p>
    <w:p>
      <w:pPr>
        <w:ind w:left="2400" w:hanging="1027"/>
        <w:spacing w:after="0"/>
        <w:tabs>
          <w:tab w:leader="none" w:pos="24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the Proposed Borrowing, no Default has occurred and is</w:t>
      </w:r>
    </w:p>
    <w:p>
      <w:pPr>
        <w:spacing w:after="0" w:line="27" w:lineRule="exact"/>
        <w:rPr>
          <w:rFonts w:ascii="Times New Roman" w:cs="Times New Roman" w:eastAsia="Times New Roman" w:hAnsi="Times New Roman"/>
          <w:sz w:val="18"/>
          <w:szCs w:val="18"/>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w:t>
      </w: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2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8890</wp:posOffset>
            </wp:positionV>
            <wp:extent cx="33515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10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Exhibit F</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5715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6720" w:type="dxa"/>
            <w:vAlign w:val="bottom"/>
            <w:gridSpan w:val="5"/>
          </w:tcPr>
          <w:p>
            <w:pPr>
              <w:jc w:val="center"/>
              <w:ind w:right="2070"/>
              <w:spacing w:after="0"/>
              <w:rPr>
                <w:sz w:val="20"/>
                <w:szCs w:val="20"/>
                <w:color w:val="auto"/>
              </w:rPr>
            </w:pPr>
            <w:r>
              <w:rPr>
                <w:rFonts w:ascii="Times New Roman" w:cs="Times New Roman" w:eastAsia="Times New Roman" w:hAnsi="Times New Roman"/>
                <w:sz w:val="18"/>
                <w:szCs w:val="18"/>
                <w:color w:val="auto"/>
                <w:w w:val="99"/>
              </w:rPr>
              <w:t>SCHEDULE 1 TO BORROWING REQUEST</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34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rPr>
              <w:t>PAYEE:</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00" w:type="dxa"/>
            <w:vAlign w:val="bottom"/>
            <w:gridSpan w:val="3"/>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WIRE INSTRUCTIONS</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33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[__________]</w:t>
            </w:r>
          </w:p>
        </w:tc>
        <w:tc>
          <w:tcPr>
            <w:tcW w:w="100" w:type="dxa"/>
            <w:vAlign w:val="bottom"/>
            <w:tcBorders>
              <w:top w:val="single" w:sz="8" w:color="CCEEFF"/>
            </w:tcBorders>
            <w:shd w:val="clear" w:color="auto" w:fill="CCEEFF"/>
          </w:tcPr>
          <w:p>
            <w:pPr>
              <w:spacing w:after="0"/>
              <w:rPr>
                <w:sz w:val="18"/>
                <w:szCs w:val="18"/>
                <w:color w:val="auto"/>
              </w:rPr>
            </w:pPr>
          </w:p>
        </w:tc>
      </w:t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7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[__________]</w:t>
            </w:r>
          </w:p>
        </w:tc>
      </w:tr>
      <w:tr>
        <w:trPr>
          <w:trHeight w:val="607"/>
        </w:trPr>
        <w:tc>
          <w:tcPr>
            <w:tcW w:w="3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00" w:type="dxa"/>
            <w:vAlign w:val="bottom"/>
            <w:gridSpan w:val="3"/>
          </w:tcPr>
          <w:p>
            <w:pPr>
              <w:jc w:val="center"/>
              <w:ind w:right="3690"/>
              <w:spacing w:after="0"/>
              <w:rPr>
                <w:sz w:val="20"/>
                <w:szCs w:val="20"/>
                <w:color w:val="auto"/>
              </w:rPr>
            </w:pPr>
            <w:r>
              <w:rPr>
                <w:rFonts w:ascii="Times New Roman" w:cs="Times New Roman" w:eastAsia="Times New Roman" w:hAnsi="Times New Roman"/>
                <w:sz w:val="18"/>
                <w:szCs w:val="18"/>
                <w:color w:val="auto"/>
              </w:rPr>
              <w:t>Exhibit F</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340" w:type="dxa"/>
            <w:vAlign w:val="bottom"/>
            <w:tcBorders>
              <w:bottom w:val="single" w:sz="8" w:color="auto"/>
            </w:tcBorders>
          </w:tcPr>
          <w:p>
            <w:pPr>
              <w:spacing w:after="0"/>
              <w:rPr>
                <w:sz w:val="20"/>
                <w:szCs w:val="20"/>
                <w:color w:val="auto"/>
              </w:rPr>
            </w:pPr>
          </w:p>
        </w:tc>
        <w:tc>
          <w:tcPr>
            <w:tcW w:w="6460" w:type="dxa"/>
            <w:vAlign w:val="bottom"/>
            <w:tcBorders>
              <w:bottom w:val="single" w:sz="8" w:color="auto"/>
            </w:tcBorders>
            <w:gridSpan w:val="3"/>
          </w:tcPr>
          <w:p>
            <w:pPr>
              <w:jc w:val="center"/>
              <w:ind w:right="1850"/>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bl>
    <w:p>
      <w:pPr>
        <w:sectPr>
          <w:pgSz w:w="11900" w:h="16838" w:orient="portrait"/>
          <w:cols w:equalWidth="0" w:num="1">
            <w:col w:w="11240"/>
          </w:cols>
          <w:pgMar w:left="320" w:top="904"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color w:val="auto"/>
        </w:rPr>
        <w:t>EXHIBIT 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CONTINUATION/CONVERSION</w:t>
      </w: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_____________ 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05" w:lineRule="auto"/>
        <w:rPr>
          <w:sz w:val="20"/>
          <w:szCs w:val="20"/>
          <w:color w:val="auto"/>
        </w:rPr>
      </w:pPr>
      <w:r>
        <w:rPr>
          <w:rFonts w:ascii="Times New Roman" w:cs="Times New Roman" w:eastAsia="Times New Roman" w:hAnsi="Times New Roman"/>
          <w:sz w:val="18"/>
          <w:szCs w:val="18"/>
          <w:color w:val="auto"/>
        </w:rPr>
        <w:t>388 Greenwich Street,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Linda Tam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hereby made to that certain Amended and Restated Credit Agreement, dated as of April 18, 2022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EXLSERVICE HOLDINGS,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party thereto, the Lenders party thereto, and Citibank, N.A. as Administrative Agent for the Lenders. Unless otherwise defined herein, capitalized terms used in this Notice have the meanings ascribed thereto in the Amended and Restated Credit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hereby notifies the Administrative Agent of an interest rate election and in that connection sets forth below the terms thereof:</w:t>
      </w:r>
    </w:p>
    <w:p>
      <w:pPr>
        <w:spacing w:after="0" w:line="229" w:lineRule="exact"/>
        <w:rPr>
          <w:sz w:val="20"/>
          <w:szCs w:val="20"/>
          <w:color w:val="auto"/>
        </w:rPr>
      </w:pPr>
    </w:p>
    <w:p>
      <w:pPr>
        <w:jc w:val="both"/>
        <w:ind w:firstLine="656"/>
        <w:spacing w:after="0" w:line="237" w:lineRule="auto"/>
        <w:tabs>
          <w:tab w:leader="none" w:pos="121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_____________ ___, 20__ (which is a Business Day), the Borrower will convert $[●]</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of the aggregate outstanding principal amount of the Loans, bearing interest at the [Alternate Base Rate][Term SOFR], into a [Term SOFR][ABR] Loan [and, in the case of a Term SOFR Loan, having an Interest Period of [●] month(s)]</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and][.]]</w:t>
      </w:r>
    </w:p>
    <w:p>
      <w:pPr>
        <w:spacing w:after="0" w:line="78" w:lineRule="exact"/>
        <w:rPr>
          <w:rFonts w:ascii="Times New Roman" w:cs="Times New Roman" w:eastAsia="Times New Roman" w:hAnsi="Times New Roman"/>
          <w:sz w:val="18"/>
          <w:szCs w:val="18"/>
          <w:color w:val="auto"/>
        </w:rPr>
      </w:pPr>
    </w:p>
    <w:p>
      <w:pPr>
        <w:ind w:right="20" w:firstLine="656"/>
        <w:spacing w:after="0" w:line="292" w:lineRule="auto"/>
        <w:tabs>
          <w:tab w:leader="none" w:pos="121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_____________ ___, 20__ (which is a Business Day), the Borrower will continue $[●] of the aggregate outstanding principal amount of the Loans bearing interest at the Term SOFR Reference Rate, as Term SOFR Loans having an Interest Period of [●] month(s)</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8890</wp:posOffset>
            </wp:positionV>
            <wp:extent cx="33515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2" w:lineRule="exact"/>
        <w:rPr>
          <w:sz w:val="20"/>
          <w:szCs w:val="20"/>
          <w:color w:val="auto"/>
        </w:rPr>
      </w:pPr>
    </w:p>
    <w:p>
      <w:pPr>
        <w:ind w:left="120" w:hanging="112"/>
        <w:spacing w:after="0"/>
        <w:tabs>
          <w:tab w:leader="none" w:pos="120" w:val="left"/>
        </w:tabs>
        <w:numPr>
          <w:ilvl w:val="0"/>
          <w:numId w:val="1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of the Credit Agreement.</w:t>
      </w:r>
    </w:p>
    <w:p>
      <w:pPr>
        <w:spacing w:after="0" w:line="128" w:lineRule="exact"/>
        <w:rPr>
          <w:sz w:val="20"/>
          <w:szCs w:val="20"/>
          <w:color w:val="auto"/>
        </w:rPr>
      </w:pPr>
    </w:p>
    <w:p>
      <w:pPr>
        <w:ind w:left="120" w:hanging="112"/>
        <w:spacing w:after="0"/>
        <w:tabs>
          <w:tab w:leader="none" w:pos="120" w:val="left"/>
        </w:tabs>
        <w:numPr>
          <w:ilvl w:val="0"/>
          <w:numId w:val="1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Must be a period contemplated by the definition of “Interest Period.”</w:t>
      </w:r>
    </w:p>
    <w:p>
      <w:pPr>
        <w:spacing w:after="0" w:line="128" w:lineRule="exact"/>
        <w:rPr>
          <w:sz w:val="20"/>
          <w:szCs w:val="20"/>
          <w:color w:val="auto"/>
        </w:rPr>
      </w:pPr>
    </w:p>
    <w:p>
      <w:pPr>
        <w:ind w:left="120" w:hanging="112"/>
        <w:spacing w:after="0"/>
        <w:tabs>
          <w:tab w:leader="none" w:pos="120" w:val="left"/>
        </w:tabs>
        <w:numPr>
          <w:ilvl w:val="0"/>
          <w:numId w:val="1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Must be a period contemplated by the definition of “Interest Period.”</w:t>
      </w:r>
    </w:p>
    <w:p>
      <w:pPr>
        <w:spacing w:after="0" w:line="200" w:lineRule="exact"/>
        <w:rPr>
          <w:sz w:val="20"/>
          <w:szCs w:val="20"/>
          <w:color w:val="auto"/>
        </w:rPr>
      </w:pPr>
    </w:p>
    <w:p>
      <w:pPr>
        <w:spacing w:after="0" w:line="21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Exhibit G</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1"/>
      <w:numFmt w:val="lowerLetter"/>
      <w:start w:val="1"/>
    </w:lvl>
    <w:lvl w:ilvl="1">
      <w:lvlJc w:val="left"/>
      <w:lvlText w:val="(%2)"/>
      <w:numFmt w:val="lowerLetter"/>
      <w:start w:val="1"/>
    </w:lvl>
  </w:abstractNum>
  <w:abstractNum w:abstractNumId="3">
    <w:nsid w:val="14330624"/>
    <w:multiLevelType w:val="hybridMultilevel"/>
    <w:lvl w:ilvl="0">
      <w:lvlJc w:val="left"/>
      <w:lvlText w:val="(%1)"/>
      <w:numFmt w:val="lowerLetter"/>
      <w:start w:val="9"/>
    </w:lvl>
    <w:lvl w:ilvl="1">
      <w:lvlJc w:val="left"/>
      <w:lvlText w:val="(%2)"/>
      <w:numFmt w:val="lowerLetter"/>
      <w:start w:val="2"/>
    </w:lvl>
  </w:abstractNum>
  <w:abstractNum w:abstractNumId="4">
    <w:nsid w:val="7FFFCA11"/>
    <w:multiLevelType w:val="hybridMultilevel"/>
    <w:lvl w:ilvl="0">
      <w:lvlJc w:val="left"/>
      <w:lvlText w:val="(%1)"/>
      <w:numFmt w:val="lowerLetter"/>
      <w:start w:val="3"/>
    </w:lvl>
  </w:abstractNum>
  <w:abstractNum w:abstractNumId="5">
    <w:nsid w:val="1A27709E"/>
    <w:multiLevelType w:val="hybridMultilevel"/>
    <w:lvl w:ilvl="0">
      <w:lvlJc w:val="left"/>
      <w:lvlText w:val="(%1)"/>
      <w:numFmt w:val="lowerLetter"/>
      <w:start w:val="1"/>
    </w:lvl>
  </w:abstractNum>
  <w:abstractNum w:abstractNumId="6">
    <w:nsid w:val="71EA1109"/>
    <w:multiLevelType w:val="hybridMultilevel"/>
    <w:lvl w:ilvl="0">
      <w:lvlJc w:val="left"/>
      <w:lvlText w:val="(%1)"/>
      <w:numFmt w:val="lowerLetter"/>
      <w:start w:val="1"/>
    </w:lvl>
  </w:abstractNum>
  <w:abstractNum w:abstractNumId="7">
    <w:nsid w:val="100F59DC"/>
    <w:multiLevelType w:val="hybridMultilevel"/>
    <w:lvl w:ilvl="0">
      <w:lvlJc w:val="left"/>
      <w:lvlText w:val="(%1)"/>
      <w:numFmt w:val="lowerLetter"/>
      <w:start w:val="1"/>
    </w:lvl>
    <w:lvl w:ilvl="1">
      <w:lvlJc w:val="left"/>
      <w:lvlText w:val="(%2)"/>
      <w:numFmt w:val="lowerRoman"/>
      <w:start w:val="1"/>
    </w:lvl>
  </w:abstractNum>
  <w:abstractNum w:abstractNumId="8">
    <w:nsid w:val="7FB7E0AA"/>
    <w:multiLevelType w:val="hybridMultilevel"/>
    <w:lvl w:ilvl="0">
      <w:lvlJc w:val="left"/>
      <w:lvlText w:val="(%1)"/>
      <w:numFmt w:val="lowerLetter"/>
      <w:start w:val="6"/>
    </w:lvl>
  </w:abstractNum>
  <w:abstractNum w:abstractNumId="9">
    <w:nsid w:val="6EB5BD4"/>
    <w:multiLevelType w:val="hybridMultilevel"/>
    <w:lvl w:ilvl="0">
      <w:lvlJc w:val="left"/>
      <w:lvlText w:val="(%1)"/>
      <w:numFmt w:val="lowerLetter"/>
      <w:start w:val="1"/>
    </w:lvl>
  </w:abstractNum>
  <w:abstractNum w:abstractNumId="10">
    <w:nsid w:val="6F6DD9AC"/>
    <w:multiLevelType w:val="hybridMultilevel"/>
    <w:lvl w:ilvl="0">
      <w:lvlJc w:val="left"/>
      <w:lvlText w:val="(%1)"/>
      <w:numFmt w:val="lowerLetter"/>
      <w:start w:val="1"/>
    </w:lvl>
  </w:abstractNum>
  <w:abstractNum w:abstractNumId="11">
    <w:nsid w:val="94211F2"/>
    <w:multiLevelType w:val="hybridMultilevel"/>
    <w:lvl w:ilvl="0">
      <w:lvlJc w:val="left"/>
      <w:lvlText w:val="(%1)"/>
      <w:numFmt w:val="lowerLetter"/>
      <w:start w:val="2"/>
    </w:lvl>
  </w:abstractNum>
  <w:abstractNum w:abstractNumId="12">
    <w:nsid w:val="885E1B"/>
    <w:multiLevelType w:val="hybridMultilevel"/>
    <w:lvl w:ilvl="0">
      <w:lvlJc w:val="left"/>
      <w:lvlText w:val="(%1)"/>
      <w:numFmt w:val="lowerLetter"/>
      <w:start w:val="1"/>
    </w:lvl>
  </w:abstractNum>
  <w:abstractNum w:abstractNumId="13">
    <w:nsid w:val="76272110"/>
    <w:multiLevelType w:val="hybridMultilevel"/>
    <w:lvl w:ilvl="0">
      <w:lvlJc w:val="left"/>
      <w:lvlText w:val="(%1)"/>
      <w:numFmt w:val="lowerLetter"/>
      <w:start w:val="3"/>
    </w:lvl>
  </w:abstractNum>
  <w:abstractNum w:abstractNumId="14">
    <w:nsid w:val="4C04A8AF"/>
    <w:multiLevelType w:val="hybridMultilevel"/>
    <w:lvl w:ilvl="0">
      <w:lvlJc w:val="left"/>
      <w:lvlText w:val="(%1)"/>
      <w:numFmt w:val="lowerLetter"/>
      <w:start w:val="1"/>
    </w:lvl>
  </w:abstractNum>
  <w:abstractNum w:abstractNumId="15">
    <w:nsid w:val="1716703B"/>
    <w:multiLevelType w:val="hybridMultilevel"/>
    <w:lvl w:ilvl="0">
      <w:lvlJc w:val="left"/>
      <w:lvlText w:val="(%1)"/>
      <w:numFmt w:val="lowerLetter"/>
      <w:start w:val="1"/>
    </w:lvl>
  </w:abstractNum>
  <w:abstractNum w:abstractNumId="16">
    <w:nsid w:val="14E17E33"/>
    <w:multiLevelType w:val="hybridMultilevel"/>
    <w:lvl w:ilvl="0">
      <w:lvlJc w:val="left"/>
      <w:lvlText w:val="(%1)"/>
      <w:numFmt w:val="lowerLetter"/>
      <w:start w:val="1"/>
    </w:lvl>
  </w:abstractNum>
  <w:abstractNum w:abstractNumId="17">
    <w:nsid w:val="3222E7CD"/>
    <w:multiLevelType w:val="hybridMultilevel"/>
    <w:lvl w:ilvl="0">
      <w:lvlJc w:val="left"/>
      <w:lvlText w:val="(%1)"/>
      <w:numFmt w:val="lowerLetter"/>
      <w:start w:val="1"/>
    </w:lvl>
  </w:abstractNum>
  <w:abstractNum w:abstractNumId="18">
    <w:nsid w:val="74DE0EE3"/>
    <w:multiLevelType w:val="hybridMultilevel"/>
    <w:lvl w:ilvl="0">
      <w:lvlJc w:val="left"/>
      <w:lvlText w:val="(%1)"/>
      <w:numFmt w:val="lowerRoman"/>
      <w:start w:val="1"/>
    </w:lvl>
  </w:abstractNum>
  <w:abstractNum w:abstractNumId="19">
    <w:nsid w:val="68EBC550"/>
    <w:multiLevelType w:val="hybridMultilevel"/>
    <w:lvl w:ilvl="0">
      <w:lvlJc w:val="left"/>
      <w:lvlText w:val="(%1)"/>
      <w:numFmt w:val="lowerLetter"/>
      <w:start w:val="1"/>
    </w:lvl>
    <w:lvl w:ilvl="1">
      <w:lvlJc w:val="left"/>
      <w:lvlText w:val="(%2)"/>
      <w:numFmt w:val="lowerRoman"/>
      <w:start w:val="1"/>
    </w:lvl>
  </w:abstractNum>
  <w:abstractNum w:abstractNumId="20">
    <w:nsid w:val="2DF6D648"/>
    <w:multiLevelType w:val="hybridMultilevel"/>
    <w:lvl w:ilvl="0">
      <w:lvlJc w:val="left"/>
      <w:lvlText w:val="(%1)"/>
      <w:numFmt w:val="lowerRoman"/>
      <w:start w:val="10"/>
    </w:lvl>
  </w:abstractNum>
  <w:abstractNum w:abstractNumId="21">
    <w:nsid w:val="46B7D447"/>
    <w:multiLevelType w:val="hybridMultilevel"/>
    <w:lvl w:ilvl="0">
      <w:lvlJc w:val="left"/>
      <w:lvlText w:val="(%1)"/>
      <w:numFmt w:val="lowerLetter"/>
      <w:start w:val="3"/>
    </w:lvl>
  </w:abstractNum>
  <w:abstractNum w:abstractNumId="22">
    <w:nsid w:val="4A2AC315"/>
    <w:multiLevelType w:val="hybridMultilevel"/>
    <w:lvl w:ilvl="0">
      <w:lvlJc w:val="left"/>
      <w:lvlText w:val="(%1)"/>
      <w:numFmt w:val="lowerLetter"/>
      <w:start w:val="1"/>
    </w:lvl>
  </w:abstractNum>
  <w:abstractNum w:abstractNumId="23">
    <w:nsid w:val="39EE015C"/>
    <w:multiLevelType w:val="hybridMultilevel"/>
    <w:lvl w:ilvl="0">
      <w:lvlJc w:val="left"/>
      <w:lvlText w:val="(%1)"/>
      <w:numFmt w:val="lowerRoman"/>
      <w:start w:val="1"/>
    </w:lvl>
  </w:abstractNum>
  <w:abstractNum w:abstractNumId="24">
    <w:nsid w:val="57FC4FBB"/>
    <w:multiLevelType w:val="hybridMultilevel"/>
    <w:lvl w:ilvl="0">
      <w:lvlJc w:val="left"/>
      <w:lvlText w:val="(%1)"/>
      <w:numFmt w:val="lowerLetter"/>
      <w:start w:val="3"/>
    </w:lvl>
  </w:abstractNum>
  <w:abstractNum w:abstractNumId="25">
    <w:nsid w:val="CC1016F"/>
    <w:multiLevelType w:val="hybridMultilevel"/>
    <w:lvl w:ilvl="0">
      <w:lvlJc w:val="left"/>
      <w:lvlText w:val="(%1)"/>
      <w:numFmt w:val="lowerLetter"/>
      <w:start w:val="3"/>
    </w:lvl>
  </w:abstractNum>
  <w:abstractNum w:abstractNumId="26">
    <w:nsid w:val="43F18422"/>
    <w:multiLevelType w:val="hybridMultilevel"/>
    <w:lvl w:ilvl="0">
      <w:lvlJc w:val="left"/>
      <w:lvlText w:val="(%1)"/>
      <w:numFmt w:val="lowerLetter"/>
      <w:start w:val="1"/>
    </w:lvl>
  </w:abstractNum>
  <w:abstractNum w:abstractNumId="27">
    <w:nsid w:val="60EF0119"/>
    <w:multiLevelType w:val="hybridMultilevel"/>
    <w:lvl w:ilvl="0">
      <w:lvlJc w:val="left"/>
      <w:lvlText w:val="(%1)"/>
      <w:numFmt w:val="lowerLetter"/>
      <w:start w:val="1"/>
    </w:lvl>
  </w:abstractNum>
  <w:abstractNum w:abstractNumId="28">
    <w:nsid w:val="26F324BA"/>
    <w:multiLevelType w:val="hybridMultilevel"/>
    <w:lvl w:ilvl="0">
      <w:lvlJc w:val="left"/>
      <w:lvlText w:val="(%1)"/>
      <w:numFmt w:val="lowerLetter"/>
      <w:start w:val="1"/>
    </w:lvl>
  </w:abstractNum>
  <w:abstractNum w:abstractNumId="29">
    <w:nsid w:val="7F01579B"/>
    <w:multiLevelType w:val="hybridMultilevel"/>
    <w:lvl w:ilvl="0">
      <w:lvlJc w:val="left"/>
      <w:lvlText w:val="(%1)"/>
      <w:numFmt w:val="lowerLetter"/>
      <w:start w:val="2"/>
    </w:lvl>
  </w:abstractNum>
  <w:abstractNum w:abstractNumId="30">
    <w:nsid w:val="49DA307D"/>
    <w:multiLevelType w:val="hybridMultilevel"/>
    <w:lvl w:ilvl="0">
      <w:lvlJc w:val="left"/>
      <w:lvlText w:val="(%1)"/>
      <w:numFmt w:val="lowerLetter"/>
      <w:start w:val="1"/>
    </w:lvl>
  </w:abstractNum>
  <w:abstractNum w:abstractNumId="31">
    <w:nsid w:val="7055A5F5"/>
    <w:multiLevelType w:val="hybridMultilevel"/>
    <w:lvl w:ilvl="0">
      <w:lvlJc w:val="left"/>
      <w:lvlText w:val="(%1)"/>
      <w:numFmt w:val="lowerRoman"/>
      <w:start w:val="1"/>
    </w:lvl>
  </w:abstractNum>
  <w:abstractNum w:abstractNumId="32">
    <w:nsid w:val="5FB8370B"/>
    <w:multiLevelType w:val="hybridMultilevel"/>
    <w:lvl w:ilvl="0">
      <w:lvlJc w:val="left"/>
      <w:lvlText w:val="(%1)"/>
      <w:numFmt w:val="lowerRoman"/>
      <w:start w:val="2"/>
    </w:lvl>
  </w:abstractNum>
  <w:abstractNum w:abstractNumId="33">
    <w:nsid w:val="50801EE1"/>
    <w:multiLevelType w:val="hybridMultilevel"/>
    <w:lvl w:ilvl="0">
      <w:lvlJc w:val="left"/>
      <w:lvlText w:val="(%1)"/>
      <w:numFmt w:val="lowerLetter"/>
      <w:start w:val="1"/>
    </w:lvl>
  </w:abstractNum>
  <w:abstractNum w:abstractNumId="34">
    <w:nsid w:val="488AC1A"/>
    <w:multiLevelType w:val="hybridMultilevel"/>
    <w:lvl w:ilvl="0">
      <w:lvlJc w:val="left"/>
      <w:lvlText w:val="(%1)"/>
      <w:numFmt w:val="lowerLetter"/>
      <w:start w:val="2"/>
    </w:lvl>
  </w:abstractNum>
  <w:abstractNum w:abstractNumId="35">
    <w:nsid w:val="5FB8011C"/>
    <w:multiLevelType w:val="hybridMultilevel"/>
    <w:lvl w:ilvl="0">
      <w:lvlJc w:val="left"/>
      <w:lvlText w:val="(%1)"/>
      <w:numFmt w:val="lowerLetter"/>
      <w:start w:val="4"/>
    </w:lvl>
  </w:abstractNum>
  <w:abstractNum w:abstractNumId="36">
    <w:nsid w:val="6AA78F7F"/>
    <w:multiLevelType w:val="hybridMultilevel"/>
    <w:lvl w:ilvl="0">
      <w:lvlJc w:val="left"/>
      <w:lvlText w:val="(%1)"/>
      <w:numFmt w:val="lowerLetter"/>
      <w:start w:val="7"/>
    </w:lvl>
  </w:abstractNum>
  <w:abstractNum w:abstractNumId="37">
    <w:nsid w:val="7672BD23"/>
    <w:multiLevelType w:val="hybridMultilevel"/>
    <w:lvl w:ilvl="0">
      <w:lvlJc w:val="left"/>
      <w:lvlText w:val="%1"/>
      <w:numFmt w:val="lowerLetter"/>
      <w:start w:val="1"/>
    </w:lvl>
    <w:lvl w:ilvl="1">
      <w:lvlJc w:val="left"/>
      <w:lvlText w:val="(%2)"/>
      <w:numFmt w:val="lowerLetter"/>
      <w:start w:val="10"/>
    </w:lvl>
  </w:abstractNum>
  <w:abstractNum w:abstractNumId="38">
    <w:nsid w:val="6FC75AF8"/>
    <w:multiLevelType w:val="hybridMultilevel"/>
    <w:lvl w:ilvl="0">
      <w:lvlJc w:val="left"/>
      <w:lvlText w:val="(%1)"/>
      <w:numFmt w:val="lowerLetter"/>
      <w:start w:val="9"/>
    </w:lvl>
    <w:lvl w:ilvl="1">
      <w:lvlJc w:val="left"/>
      <w:lvlText w:val="(%2)"/>
      <w:numFmt w:val="lowerLetter"/>
      <w:start w:val="11"/>
    </w:lvl>
  </w:abstractNum>
  <w:abstractNum w:abstractNumId="39">
    <w:nsid w:val="6A5F7029"/>
    <w:multiLevelType w:val="hybridMultilevel"/>
    <w:lvl w:ilvl="0">
      <w:lvlJc w:val="left"/>
      <w:lvlText w:val="(%1)"/>
      <w:numFmt w:val="lowerLetter"/>
      <w:start w:val="1"/>
    </w:lvl>
  </w:abstractNum>
  <w:abstractNum w:abstractNumId="40">
    <w:nsid w:val="7D5E18F8"/>
    <w:multiLevelType w:val="hybridMultilevel"/>
    <w:lvl w:ilvl="0">
      <w:lvlJc w:val="left"/>
      <w:lvlText w:val="(%1)"/>
      <w:numFmt w:val="lowerLetter"/>
      <w:start w:val="1"/>
    </w:lvl>
  </w:abstractNum>
  <w:abstractNum w:abstractNumId="41">
    <w:nsid w:val="5F3534A4"/>
    <w:multiLevelType w:val="hybridMultilevel"/>
    <w:lvl w:ilvl="0">
      <w:lvlJc w:val="left"/>
      <w:lvlText w:val="(%1)"/>
      <w:numFmt w:val="lowerRoman"/>
      <w:start w:val="1"/>
    </w:lvl>
  </w:abstractNum>
  <w:abstractNum w:abstractNumId="42">
    <w:nsid w:val="73A1821B"/>
    <w:multiLevelType w:val="hybridMultilevel"/>
    <w:lvl w:ilvl="0">
      <w:lvlJc w:val="left"/>
      <w:lvlText w:val="(%1)"/>
      <w:numFmt w:val="lowerLetter"/>
      <w:start w:val="4"/>
    </w:lvl>
  </w:abstractNum>
  <w:abstractNum w:abstractNumId="43">
    <w:nsid w:val="7DE67713"/>
    <w:multiLevelType w:val="hybridMultilevel"/>
    <w:lvl w:ilvl="0">
      <w:lvlJc w:val="left"/>
      <w:lvlText w:val="(%1)"/>
      <w:numFmt w:val="lowerLetter"/>
      <w:start w:val="1"/>
    </w:lvl>
  </w:abstractNum>
  <w:abstractNum w:abstractNumId="44">
    <w:nsid w:val="555C55B5"/>
    <w:multiLevelType w:val="hybridMultilevel"/>
    <w:lvl w:ilvl="0">
      <w:lvlJc w:val="left"/>
      <w:lvlText w:val="(%1)"/>
      <w:numFmt w:val="lowerLetter"/>
      <w:start w:val="4"/>
    </w:lvl>
  </w:abstractNum>
  <w:abstractNum w:abstractNumId="45">
    <w:nsid w:val="3FA62ACA"/>
    <w:multiLevelType w:val="hybridMultilevel"/>
    <w:lvl w:ilvl="0">
      <w:lvlJc w:val="left"/>
      <w:lvlText w:val="(%1)"/>
      <w:numFmt w:val="lowerLetter"/>
      <w:start w:val="1"/>
    </w:lvl>
  </w:abstractNum>
  <w:abstractNum w:abstractNumId="46">
    <w:nsid w:val="14FCE74E"/>
    <w:multiLevelType w:val="hybridMultilevel"/>
    <w:lvl w:ilvl="0">
      <w:lvlJc w:val="left"/>
      <w:lvlText w:val="(%1)"/>
      <w:numFmt w:val="lowerLetter"/>
      <w:start w:val="1"/>
    </w:lvl>
  </w:abstractNum>
  <w:abstractNum w:abstractNumId="47">
    <w:nsid w:val="6A3DD3E8"/>
    <w:multiLevelType w:val="hybridMultilevel"/>
    <w:lvl w:ilvl="0">
      <w:lvlJc w:val="left"/>
      <w:lvlText w:val="(%1)"/>
      <w:numFmt w:val="lowerLetter"/>
      <w:start w:val="1"/>
    </w:lvl>
  </w:abstractNum>
  <w:abstractNum w:abstractNumId="48">
    <w:nsid w:val="71C91298"/>
    <w:multiLevelType w:val="hybridMultilevel"/>
    <w:lvl w:ilvl="0">
      <w:lvlJc w:val="left"/>
      <w:lvlText w:val="(%1)"/>
      <w:numFmt w:val="lowerLetter"/>
      <w:start w:val="3"/>
    </w:lvl>
  </w:abstractNum>
  <w:abstractNum w:abstractNumId="49">
    <w:nsid w:val="9DAF632"/>
    <w:multiLevelType w:val="hybridMultilevel"/>
    <w:lvl w:ilvl="0">
      <w:lvlJc w:val="left"/>
      <w:lvlText w:val="(%1)"/>
      <w:numFmt w:val="lowerLetter"/>
      <w:start w:val="1"/>
    </w:lvl>
  </w:abstractNum>
  <w:abstractNum w:abstractNumId="50">
    <w:nsid w:val="53299938"/>
    <w:multiLevelType w:val="hybridMultilevel"/>
    <w:lvl w:ilvl="0">
      <w:lvlJc w:val="left"/>
      <w:lvlText w:val="(%1)"/>
      <w:numFmt w:val="lowerLetter"/>
      <w:start w:val="1"/>
    </w:lvl>
  </w:abstractNum>
  <w:abstractNum w:abstractNumId="51">
    <w:nsid w:val="1FBFE8E0"/>
    <w:multiLevelType w:val="hybridMultilevel"/>
    <w:lvl w:ilvl="0">
      <w:lvlJc w:val="left"/>
      <w:lvlText w:val="(%1)"/>
      <w:numFmt w:val="lowerLetter"/>
      <w:start w:val="1"/>
    </w:lvl>
    <w:lvl w:ilvl="1">
      <w:lvlJc w:val="left"/>
      <w:lvlText w:val="(%2)"/>
      <w:numFmt w:val="lowerRoman"/>
      <w:start w:val="1"/>
    </w:lvl>
  </w:abstractNum>
  <w:abstractNum w:abstractNumId="52">
    <w:nsid w:val="5092CA79"/>
    <w:multiLevelType w:val="hybridMultilevel"/>
    <w:lvl w:ilvl="0">
      <w:lvlJc w:val="left"/>
      <w:lvlText w:val="(%1)"/>
      <w:numFmt w:val="lowerLetter"/>
      <w:start w:val="2"/>
    </w:lvl>
  </w:abstractNum>
  <w:abstractNum w:abstractNumId="53">
    <w:nsid w:val="1D545C4D"/>
    <w:multiLevelType w:val="hybridMultilevel"/>
    <w:lvl w:ilvl="0">
      <w:lvlJc w:val="left"/>
      <w:lvlText w:val="(%1)"/>
      <w:numFmt w:val="lowerLetter"/>
      <w:start w:val="1"/>
    </w:lvl>
  </w:abstractNum>
  <w:abstractNum w:abstractNumId="54">
    <w:nsid w:val="59ADEA3D"/>
    <w:multiLevelType w:val="hybridMultilevel"/>
    <w:lvl w:ilvl="0">
      <w:lvlJc w:val="left"/>
      <w:lvlText w:val="(%1)"/>
      <w:numFmt w:val="lowerLetter"/>
      <w:start w:val="6"/>
    </w:lvl>
    <w:lvl w:ilvl="1">
      <w:lvlJc w:val="left"/>
      <w:lvlText w:val="(%2)"/>
      <w:numFmt w:val="lowerRoman"/>
      <w:start w:val="1"/>
    </w:lvl>
  </w:abstractNum>
  <w:abstractNum w:abstractNumId="55">
    <w:nsid w:val="288F1A34"/>
    <w:multiLevelType w:val="hybridMultilevel"/>
    <w:lvl w:ilvl="0">
      <w:lvlJc w:val="left"/>
      <w:lvlText w:val="(%1)"/>
      <w:numFmt w:val="upperLetter"/>
      <w:start w:val="1"/>
    </w:lvl>
    <w:lvl w:ilvl="1">
      <w:lvlJc w:val="left"/>
      <w:lvlText w:val="(%2)"/>
      <w:numFmt w:val="decimal"/>
      <w:start w:val="1"/>
    </w:lvl>
  </w:abstractNum>
  <w:abstractNum w:abstractNumId="56">
    <w:nsid w:val="2A155DBC"/>
    <w:multiLevelType w:val="hybridMultilevel"/>
    <w:lvl w:ilvl="0">
      <w:lvlJc w:val="left"/>
      <w:lvlText w:val="%1"/>
      <w:numFmt w:val="upperLetter"/>
      <w:start w:val="1"/>
    </w:lvl>
    <w:lvl w:ilvl="1">
      <w:lvlJc w:val="left"/>
      <w:lvlText w:val="(%2)"/>
      <w:numFmt w:val="decimal"/>
      <w:start w:val="2"/>
    </w:lvl>
  </w:abstractNum>
  <w:abstractNum w:abstractNumId="57">
    <w:nsid w:val="1D9F6E5F"/>
    <w:multiLevelType w:val="hybridMultilevel"/>
    <w:lvl w:ilvl="0">
      <w:lvlJc w:val="left"/>
      <w:lvlText w:val="(%1)"/>
      <w:numFmt w:val="upperLetter"/>
      <w:start w:val="3"/>
    </w:lvl>
    <w:lvl w:ilvl="1">
      <w:lvlJc w:val="left"/>
      <w:lvlText w:val="%2"/>
      <w:numFmt w:val="decimal"/>
      <w:start w:val="1"/>
    </w:lvl>
  </w:abstractNum>
  <w:abstractNum w:abstractNumId="58">
    <w:nsid w:val="97E1B4E"/>
    <w:multiLevelType w:val="hybridMultilevel"/>
    <w:lvl w:ilvl="0">
      <w:lvlJc w:val="left"/>
      <w:lvlText w:val="(%1)"/>
      <w:numFmt w:val="lowerLetter"/>
      <w:start w:val="7"/>
    </w:lvl>
  </w:abstractNum>
  <w:abstractNum w:abstractNumId="59">
    <w:nsid w:val="51088277"/>
    <w:multiLevelType w:val="hybridMultilevel"/>
    <w:lvl w:ilvl="0">
      <w:lvlJc w:val="left"/>
      <w:lvlText w:val="(%1)"/>
      <w:numFmt w:val="lowerLetter"/>
      <w:start w:val="1"/>
    </w:lvl>
  </w:abstractNum>
  <w:abstractNum w:abstractNumId="60">
    <w:nsid w:val="1CA0C5FA"/>
    <w:multiLevelType w:val="hybridMultilevel"/>
    <w:lvl w:ilvl="0">
      <w:lvlJc w:val="left"/>
      <w:lvlText w:val="(%1)"/>
      <w:numFmt w:val="lowerLetter"/>
      <w:start w:val="2"/>
    </w:lvl>
  </w:abstractNum>
  <w:abstractNum w:abstractNumId="61">
    <w:nsid w:val="53584BCB"/>
    <w:multiLevelType w:val="hybridMultilevel"/>
    <w:lvl w:ilvl="0">
      <w:lvlJc w:val="left"/>
      <w:lvlText w:val="(%1)"/>
      <w:numFmt w:val="lowerLetter"/>
      <w:start w:val="3"/>
    </w:lvl>
  </w:abstractNum>
  <w:abstractNum w:abstractNumId="62">
    <w:nsid w:val="415E286C"/>
    <w:multiLevelType w:val="hybridMultilevel"/>
    <w:lvl w:ilvl="0">
      <w:lvlJc w:val="left"/>
      <w:lvlText w:val="%1"/>
      <w:numFmt w:val="lowerLetter"/>
      <w:start w:val="1"/>
    </w:lvl>
    <w:lvl w:ilvl="1">
      <w:lvlJc w:val="left"/>
      <w:lvlText w:val="(%2)"/>
      <w:numFmt w:val="lowerLetter"/>
      <w:start w:val="5"/>
    </w:lvl>
  </w:abstractNum>
  <w:abstractNum w:abstractNumId="63">
    <w:nsid w:val="7C58FD05"/>
    <w:multiLevelType w:val="hybridMultilevel"/>
    <w:lvl w:ilvl="0">
      <w:lvlJc w:val="left"/>
      <w:lvlText w:val="(%1)"/>
      <w:numFmt w:val="lowerLetter"/>
      <w:start w:val="9"/>
    </w:lvl>
    <w:lvl w:ilvl="1">
      <w:lvlJc w:val="left"/>
      <w:lvlText w:val="(%2)"/>
      <w:numFmt w:val="lowerLetter"/>
      <w:start w:val="7"/>
    </w:lvl>
  </w:abstractNum>
  <w:abstractNum w:abstractNumId="64">
    <w:nsid w:val="23D86AAC"/>
    <w:multiLevelType w:val="hybridMultilevel"/>
    <w:lvl w:ilvl="0">
      <w:lvlJc w:val="left"/>
      <w:lvlText w:val="(%1)"/>
      <w:numFmt w:val="lowerLetter"/>
      <w:start w:val="1"/>
    </w:lvl>
  </w:abstractNum>
  <w:abstractNum w:abstractNumId="65">
    <w:nsid w:val="45E6D486"/>
    <w:multiLevelType w:val="hybridMultilevel"/>
    <w:lvl w:ilvl="0">
      <w:lvlJc w:val="left"/>
      <w:lvlText w:val="(%1)"/>
      <w:numFmt w:val="lowerLetter"/>
      <w:start w:val="2"/>
    </w:lvl>
  </w:abstractNum>
  <w:abstractNum w:abstractNumId="66">
    <w:nsid w:val="5C10FE21"/>
    <w:multiLevelType w:val="hybridMultilevel"/>
    <w:lvl w:ilvl="0">
      <w:lvlJc w:val="left"/>
      <w:lvlText w:val="(%1)"/>
      <w:numFmt w:val="lowerLetter"/>
      <w:start w:val="1"/>
    </w:lvl>
  </w:abstractNum>
  <w:abstractNum w:abstractNumId="67">
    <w:nsid w:val="E7FFA2B"/>
    <w:multiLevelType w:val="hybridMultilevel"/>
    <w:lvl w:ilvl="0">
      <w:lvlJc w:val="left"/>
      <w:lvlText w:val="(%1)"/>
      <w:numFmt w:val="lowerLetter"/>
      <w:start w:val="3"/>
    </w:lvl>
    <w:lvl w:ilvl="1">
      <w:lvlJc w:val="left"/>
      <w:lvlText w:val="(%2)"/>
      <w:numFmt w:val="lowerRoman"/>
      <w:start w:val="1"/>
    </w:lvl>
  </w:abstractNum>
  <w:abstractNum w:abstractNumId="68">
    <w:nsid w:val="3C5991AA"/>
    <w:multiLevelType w:val="hybridMultilevel"/>
    <w:lvl w:ilvl="0">
      <w:lvlJc w:val="left"/>
      <w:lvlText w:val="%1"/>
      <w:numFmt w:val="lowerLetter"/>
      <w:start w:val="1"/>
    </w:lvl>
    <w:lvl w:ilvl="1">
      <w:lvlJc w:val="left"/>
      <w:lvlText w:val="(%2)"/>
      <w:numFmt w:val="lowerLetter"/>
      <w:start w:val="1"/>
    </w:lvl>
  </w:abstractNum>
  <w:abstractNum w:abstractNumId="69">
    <w:nsid w:val="4BD8591A"/>
    <w:multiLevelType w:val="hybridMultilevel"/>
    <w:lvl w:ilvl="0">
      <w:lvlJc w:val="left"/>
      <w:lvlText w:val="(%1)"/>
      <w:numFmt w:val="lowerLetter"/>
      <w:start w:val="35"/>
    </w:lvl>
    <w:lvl w:ilvl="1">
      <w:lvlJc w:val="left"/>
      <w:lvlText w:val="%2"/>
      <w:numFmt w:val="lowerLetter"/>
      <w:start w:val="1"/>
    </w:lvl>
  </w:abstractNum>
  <w:abstractNum w:abstractNumId="70">
    <w:nsid w:val="78DF6A55"/>
    <w:multiLevelType w:val="hybridMultilevel"/>
    <w:lvl w:ilvl="0">
      <w:lvlJc w:val="left"/>
      <w:lvlText w:val="(%1)"/>
      <w:numFmt w:val="lowerLetter"/>
      <w:start w:val="4"/>
    </w:lvl>
  </w:abstractNum>
  <w:abstractNum w:abstractNumId="71">
    <w:nsid w:val="39B7AAA2"/>
    <w:multiLevelType w:val="hybridMultilevel"/>
    <w:lvl w:ilvl="0">
      <w:lvlJc w:val="left"/>
      <w:lvlText w:val="(%1)"/>
      <w:numFmt w:val="lowerLetter"/>
      <w:start w:val="1"/>
    </w:lvl>
    <w:lvl w:ilvl="1">
      <w:lvlJc w:val="left"/>
      <w:lvlText w:val="(%2)"/>
      <w:numFmt w:val="lowerRoman"/>
      <w:start w:val="1"/>
    </w:lvl>
  </w:abstractNum>
  <w:abstractNum w:abstractNumId="72">
    <w:nsid w:val="2B0D8DBE"/>
    <w:multiLevelType w:val="hybridMultilevel"/>
    <w:lvl w:ilvl="0">
      <w:lvlJc w:val="left"/>
      <w:lvlText w:val="%1"/>
      <w:numFmt w:val="lowerLetter"/>
      <w:start w:val="1"/>
    </w:lvl>
    <w:lvl w:ilvl="1">
      <w:lvlJc w:val="left"/>
      <w:lvlText w:val="(%2)"/>
      <w:numFmt w:val="lowerRoman"/>
      <w:start w:val="3"/>
    </w:lvl>
  </w:abstractNum>
  <w:abstractNum w:abstractNumId="73">
    <w:nsid w:val="6C80EC70"/>
    <w:multiLevelType w:val="hybridMultilevel"/>
    <w:lvl w:ilvl="0">
      <w:lvlJc w:val="left"/>
      <w:lvlText w:val="(%1)"/>
      <w:numFmt w:val="lowerLetter"/>
      <w:start w:val="2"/>
    </w:lvl>
    <w:lvl w:ilvl="1">
      <w:lvlJc w:val="left"/>
      <w:lvlText w:val="(%2)"/>
      <w:numFmt w:val="lowerRoman"/>
      <w:start w:val="1"/>
    </w:lvl>
  </w:abstractNum>
  <w:abstractNum w:abstractNumId="74">
    <w:nsid w:val="379E21B5"/>
    <w:multiLevelType w:val="hybridMultilevel"/>
    <w:lvl w:ilvl="0">
      <w:lvlJc w:val="left"/>
      <w:lvlText w:val="%1"/>
      <w:numFmt w:val="upperLetter"/>
      <w:start w:val="1"/>
    </w:lvl>
    <w:lvl w:ilvl="1">
      <w:lvlJc w:val="left"/>
      <w:lvlText w:val="(%2)"/>
      <w:numFmt w:val="lowerLetter"/>
      <w:start w:val="1"/>
    </w:lvl>
  </w:abstractNum>
  <w:abstractNum w:abstractNumId="75">
    <w:nsid w:val="69E373"/>
    <w:multiLevelType w:val="hybridMultilevel"/>
    <w:lvl w:ilvl="0">
      <w:lvlJc w:val="left"/>
      <w:lvlText w:val="(%1)"/>
      <w:numFmt w:val="upperLetter"/>
      <w:start w:val="1"/>
    </w:lvl>
    <w:lvl w:ilvl="1">
      <w:lvlJc w:val="left"/>
      <w:lvlText w:val="%2"/>
      <w:numFmt w:val="lowerLetter"/>
      <w:start w:val="1"/>
    </w:lvl>
  </w:abstractNum>
  <w:abstractNum w:abstractNumId="76">
    <w:nsid w:val="2C27173B"/>
    <w:multiLevelType w:val="hybridMultilevel"/>
    <w:lvl w:ilvl="0">
      <w:lvlJc w:val="left"/>
      <w:lvlText w:val="(%1)"/>
      <w:numFmt w:val="lowerLetter"/>
      <w:start w:val="5"/>
    </w:lvl>
  </w:abstractNum>
  <w:abstractNum w:abstractNumId="77">
    <w:nsid w:val="4C9B0904"/>
    <w:multiLevelType w:val="hybridMultilevel"/>
    <w:lvl w:ilvl="0">
      <w:lvlJc w:val="left"/>
      <w:lvlText w:val="(%1)"/>
      <w:numFmt w:val="lowerLetter"/>
      <w:start w:val="1"/>
    </w:lvl>
  </w:abstractNum>
  <w:abstractNum w:abstractNumId="78">
    <w:nsid w:val="6AA7B75C"/>
    <w:multiLevelType w:val="hybridMultilevel"/>
    <w:lvl w:ilvl="0">
      <w:lvlJc w:val="left"/>
      <w:lvlText w:val="(%1)"/>
      <w:numFmt w:val="lowerLetter"/>
      <w:start w:val="1"/>
    </w:lvl>
  </w:abstractNum>
  <w:abstractNum w:abstractNumId="79">
    <w:nsid w:val="1DF029D3"/>
    <w:multiLevelType w:val="hybridMultilevel"/>
    <w:lvl w:ilvl="0">
      <w:lvlJc w:val="left"/>
      <w:lvlText w:val="(%1)"/>
      <w:numFmt w:val="lowerLetter"/>
      <w:start w:val="1"/>
    </w:lvl>
  </w:abstractNum>
  <w:abstractNum w:abstractNumId="80">
    <w:nsid w:val="5675FF36"/>
    <w:multiLevelType w:val="hybridMultilevel"/>
    <w:lvl w:ilvl="0">
      <w:lvlJc w:val="left"/>
      <w:lvlText w:val="(%1)"/>
      <w:numFmt w:val="lowerLetter"/>
      <w:start w:val="1"/>
    </w:lvl>
  </w:abstractNum>
  <w:abstractNum w:abstractNumId="81">
    <w:nsid w:val="3DD15094"/>
    <w:multiLevelType w:val="hybridMultilevel"/>
    <w:lvl w:ilvl="0">
      <w:lvlJc w:val="left"/>
      <w:lvlText w:val="(%1)"/>
      <w:numFmt w:val="lowerLetter"/>
      <w:start w:val="1"/>
    </w:lvl>
  </w:abstractNum>
  <w:abstractNum w:abstractNumId="82">
    <w:nsid w:val="3DB012B3"/>
    <w:multiLevelType w:val="hybridMultilevel"/>
    <w:lvl w:ilvl="0">
      <w:lvlJc w:val="left"/>
      <w:lvlText w:val="(%1)"/>
      <w:numFmt w:val="lowerLetter"/>
      <w:start w:val="1"/>
    </w:lvl>
  </w:abstractNum>
  <w:abstractNum w:abstractNumId="83">
    <w:nsid w:val="2708C9AF"/>
    <w:multiLevelType w:val="hybridMultilevel"/>
    <w:lvl w:ilvl="0">
      <w:lvlJc w:val="left"/>
      <w:lvlText w:val="(%1)"/>
      <w:numFmt w:val="lowerLetter"/>
      <w:start w:val="3"/>
    </w:lvl>
  </w:abstractNum>
  <w:abstractNum w:abstractNumId="84">
    <w:nsid w:val="5B25ACE2"/>
    <w:multiLevelType w:val="hybridMultilevel"/>
    <w:lvl w:ilvl="0">
      <w:lvlJc w:val="left"/>
      <w:lvlText w:val="(%1)"/>
      <w:numFmt w:val="lowerLetter"/>
      <w:start w:val="2"/>
    </w:lvl>
  </w:abstractNum>
  <w:abstractNum w:abstractNumId="85">
    <w:nsid w:val="175DFCF0"/>
    <w:multiLevelType w:val="hybridMultilevel"/>
    <w:lvl w:ilvl="0">
      <w:lvlJc w:val="left"/>
      <w:lvlText w:val="(%1)"/>
      <w:numFmt w:val="lowerLetter"/>
      <w:start w:val="2"/>
    </w:lvl>
  </w:abstractNum>
  <w:abstractNum w:abstractNumId="86">
    <w:nsid w:val="4F97E3E4"/>
    <w:multiLevelType w:val="hybridMultilevel"/>
    <w:lvl w:ilvl="0">
      <w:lvlJc w:val="left"/>
      <w:lvlText w:val="(%1)"/>
      <w:numFmt w:val="lowerLetter"/>
      <w:start w:val="1"/>
    </w:lvl>
  </w:abstractNum>
  <w:abstractNum w:abstractNumId="87">
    <w:nsid w:val="53B0A9E"/>
    <w:multiLevelType w:val="hybridMultilevel"/>
    <w:lvl w:ilvl="0">
      <w:lvlJc w:val="left"/>
      <w:lvlText w:val="(%1)"/>
      <w:numFmt w:val="lowerLetter"/>
      <w:start w:val="1"/>
    </w:lvl>
  </w:abstractNum>
  <w:abstractNum w:abstractNumId="88">
    <w:nsid w:val="34FD6B4F"/>
    <w:multiLevelType w:val="hybridMultilevel"/>
    <w:lvl w:ilvl="0">
      <w:lvlJc w:val="left"/>
      <w:lvlText w:val="(%1)"/>
      <w:numFmt w:val="lowerLetter"/>
      <w:start w:val="1"/>
    </w:lvl>
  </w:abstractNum>
  <w:abstractNum w:abstractNumId="89">
    <w:nsid w:val="5915FF32"/>
    <w:multiLevelType w:val="hybridMultilevel"/>
    <w:lvl w:ilvl="0">
      <w:lvlJc w:val="left"/>
      <w:lvlText w:val="%1"/>
      <w:numFmt w:val="lowerLetter"/>
      <w:start w:val="1"/>
    </w:lvl>
    <w:lvl w:ilvl="1">
      <w:lvlJc w:val="left"/>
      <w:lvlText w:val="(%2)"/>
      <w:numFmt w:val="lowerLetter"/>
      <w:start w:val="1"/>
    </w:lvl>
  </w:abstractNum>
  <w:abstractNum w:abstractNumId="90">
    <w:nsid w:val="56438D15"/>
    <w:multiLevelType w:val="hybridMultilevel"/>
    <w:lvl w:ilvl="0">
      <w:lvlJc w:val="left"/>
      <w:lvlText w:val="(%1)"/>
      <w:numFmt w:val="lowerLetter"/>
      <w:start w:val="35"/>
    </w:lvl>
    <w:lvl w:ilvl="1">
      <w:lvlJc w:val="left"/>
      <w:lvlText w:val="(%2)"/>
      <w:numFmt w:val="lowerLetter"/>
      <w:start w:val="4"/>
    </w:lvl>
  </w:abstractNum>
  <w:abstractNum w:abstractNumId="91">
    <w:nsid w:val="519E3149"/>
    <w:multiLevelType w:val="hybridMultilevel"/>
    <w:lvl w:ilvl="0">
      <w:lvlJc w:val="left"/>
      <w:lvlText w:val="%1"/>
      <w:numFmt w:val="lowerLetter"/>
      <w:start w:val="1"/>
    </w:lvl>
    <w:lvl w:ilvl="1">
      <w:lvlJc w:val="left"/>
      <w:lvlText w:val="(%2)"/>
      <w:numFmt w:val="lowerLetter"/>
      <w:start w:val="6"/>
    </w:lvl>
  </w:abstractNum>
  <w:abstractNum w:abstractNumId="92">
    <w:nsid w:val="2C6E4AFD"/>
    <w:multiLevelType w:val="hybridMultilevel"/>
    <w:lvl w:ilvl="0">
      <w:lvlJc w:val="left"/>
      <w:lvlText w:val="(%1)"/>
      <w:numFmt w:val="lowerLetter"/>
      <w:start w:val="5"/>
    </w:lvl>
    <w:lvl w:ilvl="1">
      <w:lvlJc w:val="left"/>
      <w:lvlText w:val="(%2)"/>
      <w:numFmt w:val="lowerLetter"/>
      <w:start w:val="7"/>
    </w:lvl>
  </w:abstractNum>
  <w:abstractNum w:abstractNumId="93">
    <w:nsid w:val="17A1B582"/>
    <w:multiLevelType w:val="hybridMultilevel"/>
    <w:lvl w:ilvl="0">
      <w:lvlJc w:val="left"/>
      <w:lvlText w:val="%1"/>
      <w:numFmt w:val="lowerLetter"/>
      <w:start w:val="1"/>
    </w:lvl>
    <w:lvl w:ilvl="1">
      <w:lvlJc w:val="left"/>
      <w:lvlText w:val="(%2)"/>
      <w:numFmt w:val="lowerLetter"/>
      <w:start w:val="17"/>
    </w:lvl>
  </w:abstractNum>
  <w:abstractNum w:abstractNumId="94">
    <w:nsid w:val="4DF72E4E"/>
    <w:multiLevelType w:val="hybridMultilevel"/>
    <w:lvl w:ilvl="0">
      <w:lvlJc w:val="left"/>
      <w:lvlText w:val="(%1)"/>
      <w:numFmt w:val="lowerLetter"/>
      <w:start w:val="25"/>
    </w:lvl>
    <w:lvl w:ilvl="1">
      <w:lvlJc w:val="left"/>
      <w:lvlText w:val="(%2)"/>
      <w:numFmt w:val="lowerLetter"/>
      <w:start w:val="22"/>
    </w:lvl>
  </w:abstractNum>
  <w:abstractNum w:abstractNumId="95">
    <w:nsid w:val="5046B5A9"/>
    <w:multiLevelType w:val="hybridMultilevel"/>
    <w:lvl w:ilvl="0">
      <w:lvlJc w:val="left"/>
      <w:lvlText w:val="(%1)"/>
      <w:numFmt w:val="lowerLetter"/>
      <w:start w:val="1"/>
    </w:lvl>
  </w:abstractNum>
  <w:abstractNum w:abstractNumId="96">
    <w:nsid w:val="5D888A08"/>
    <w:multiLevelType w:val="hybridMultilevel"/>
    <w:lvl w:ilvl="0">
      <w:lvlJc w:val="left"/>
      <w:lvlText w:val="(%1)"/>
      <w:numFmt w:val="lowerLetter"/>
      <w:start w:val="5"/>
    </w:lvl>
  </w:abstractNum>
  <w:abstractNum w:abstractNumId="97">
    <w:nsid w:val="2A082C70"/>
    <w:multiLevelType w:val="hybridMultilevel"/>
    <w:lvl w:ilvl="0">
      <w:lvlJc w:val="left"/>
      <w:lvlText w:val="(%1)"/>
      <w:numFmt w:val="lowerLetter"/>
      <w:start w:val="1"/>
    </w:lvl>
  </w:abstractNum>
  <w:abstractNum w:abstractNumId="98">
    <w:nsid w:val="5EC6AFD4"/>
    <w:multiLevelType w:val="hybridMultilevel"/>
    <w:lvl w:ilvl="0">
      <w:lvlJc w:val="left"/>
      <w:lvlText w:val="(%1)"/>
      <w:numFmt w:val="lowerLetter"/>
      <w:start w:val="2"/>
    </w:lvl>
  </w:abstractNum>
  <w:abstractNum w:abstractNumId="99">
    <w:nsid w:val="19E21BB2"/>
    <w:multiLevelType w:val="hybridMultilevel"/>
    <w:lvl w:ilvl="0">
      <w:lvlJc w:val="left"/>
      <w:lvlText w:val="(%1)"/>
      <w:numFmt w:val="lowerLetter"/>
      <w:start w:val="1"/>
    </w:lvl>
  </w:abstractNum>
  <w:abstractNum w:abstractNumId="100">
    <w:nsid w:val="75E0858A"/>
    <w:multiLevelType w:val="hybridMultilevel"/>
    <w:lvl w:ilvl="0">
      <w:lvlJc w:val="left"/>
      <w:lvlText w:val="(%1)"/>
      <w:numFmt w:val="lowerLetter"/>
      <w:start w:val="2"/>
    </w:lvl>
  </w:abstractNum>
  <w:abstractNum w:abstractNumId="101">
    <w:nsid w:val="57A61A2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02">
    <w:nsid w:val="5399C65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1"/>
    </w:lvl>
  </w:abstractNum>
  <w:abstractNum w:abstractNumId="103">
    <w:nsid w:val="20EE1348"/>
    <w:multiLevelType w:val="hybridMultilevel"/>
    <w:lvl w:ilvl="0">
      <w:lvlJc w:val="left"/>
      <w:lvlText w:val="(%1)"/>
      <w:numFmt w:val="lowerLetter"/>
      <w:start w:val="2"/>
    </w:lvl>
  </w:abstractNum>
  <w:abstractNum w:abstractNumId="104">
    <w:nsid w:val="4427069A"/>
    <w:multiLevelType w:val="hybridMultilevel"/>
    <w:lvl w:ilvl="0">
      <w:lvlJc w:val="left"/>
      <w:lvlText w:val="(%1)"/>
      <w:numFmt w:val="lowerLetter"/>
      <w:start w:val="1"/>
    </w:lvl>
  </w:abstractNum>
  <w:abstractNum w:abstractNumId="105">
    <w:nsid w:val="B37E80A"/>
    <w:multiLevelType w:val="hybridMultilevel"/>
    <w:lvl w:ilvl="0">
      <w:lvlJc w:val="left"/>
      <w:lvlText w:val="(%1)"/>
      <w:numFmt w:val="lowerLetter"/>
      <w:start w:val="1"/>
    </w:lvl>
  </w:abstractNum>
  <w:abstractNum w:abstractNumId="106">
    <w:nsid w:val="2157F6BC"/>
    <w:multiLevelType w:val="hybridMultilevel"/>
    <w:lvl w:ilvl="0">
      <w:lvlJc w:val="left"/>
      <w:lvlText w:val="%1"/>
      <w:numFmt w:val="lowerLetter"/>
      <w:start w:val="1"/>
    </w:lvl>
    <w:lvl w:ilvl="1">
      <w:lvlJc w:val="left"/>
      <w:lvlText w:val="(%2)"/>
      <w:numFmt w:val="lowerLetter"/>
      <w:start w:val="2"/>
    </w:lvl>
  </w:abstractNum>
  <w:abstractNum w:abstractNumId="107">
    <w:nsid w:val="704E1DD5"/>
    <w:multiLevelType w:val="hybridMultilevel"/>
    <w:lvl w:ilvl="0">
      <w:lvlJc w:val="left"/>
      <w:lvlText w:val="(%1)"/>
      <w:numFmt w:val="lowerLetter"/>
      <w:start w:val="25"/>
    </w:lvl>
    <w:lvl w:ilvl="1">
      <w:lvlJc w:val="left"/>
      <w:lvlText w:val="%2"/>
      <w:numFmt w:val="lowerLetter"/>
      <w:start w:val="1"/>
    </w:lvl>
  </w:abstractNum>
  <w:abstractNum w:abstractNumId="108">
    <w:nsid w:val="57D2F10E"/>
    <w:multiLevelType w:val="hybridMultilevel"/>
    <w:lvl w:ilvl="0">
      <w:lvlJc w:val="left"/>
      <w:lvlText w:val="(%1)"/>
      <w:numFmt w:val="lowerLetter"/>
      <w:start w:val="1"/>
    </w:lvl>
  </w:abstractNum>
  <w:abstractNum w:abstractNumId="109">
    <w:nsid w:val="BFFAE18"/>
    <w:multiLevelType w:val="hybridMultilevel"/>
    <w:lvl w:ilvl="0">
      <w:lvlJc w:val="left"/>
      <w:lvlText w:val="(%1)"/>
      <w:numFmt w:val="lowerLetter"/>
      <w:start w:val="6"/>
    </w:lvl>
  </w:abstractNum>
  <w:abstractNum w:abstractNumId="110">
    <w:nsid w:val="E3E47A8"/>
    <w:multiLevelType w:val="hybridMultilevel"/>
    <w:lvl w:ilvl="0">
      <w:lvlJc w:val="left"/>
      <w:lvlText w:val="(%1)"/>
      <w:numFmt w:val="lowerLetter"/>
      <w:start w:val="14"/>
    </w:lvl>
  </w:abstractNum>
  <w:abstractNum w:abstractNumId="111">
    <w:nsid w:val="2E48F044"/>
    <w:multiLevelType w:val="hybridMultilevel"/>
    <w:lvl w:ilvl="0">
      <w:lvlJc w:val="left"/>
      <w:lvlText w:val="(%1)"/>
      <w:numFmt w:val="lowerLetter"/>
      <w:start w:val="1"/>
    </w:lvl>
  </w:abstractNum>
  <w:abstractNum w:abstractNumId="112">
    <w:nsid w:val="49D0FEAC"/>
    <w:multiLevelType w:val="hybridMultilevel"/>
    <w:lvl w:ilvl="0">
      <w:lvlJc w:val="left"/>
      <w:lvlText w:val="(%1)"/>
      <w:numFmt w:val="lowerLetter"/>
      <w:start w:val="1"/>
    </w:lvl>
  </w:abstractNum>
  <w:abstractNum w:abstractNumId="113">
    <w:nsid w:val="4BEE5A5B"/>
    <w:multiLevelType w:val="hybridMultilevel"/>
    <w:lvl w:ilvl="0">
      <w:lvlJc w:val="left"/>
      <w:lvlText w:val="(%1)"/>
      <w:numFmt w:val="lowerLetter"/>
      <w:start w:val="1"/>
    </w:lvl>
  </w:abstractNum>
  <w:abstractNum w:abstractNumId="114">
    <w:nsid w:val="5551B9F3"/>
    <w:multiLevelType w:val="hybridMultilevel"/>
    <w:lvl w:ilvl="0">
      <w:lvlJc w:val="left"/>
      <w:lvlText w:val="(%1)"/>
      <w:numFmt w:val="lowerLetter"/>
      <w:start w:val="2"/>
    </w:lvl>
    <w:lvl w:ilvl="1">
      <w:lvlJc w:val="left"/>
      <w:lvlText w:val="(%2)"/>
      <w:numFmt w:val="lowerRoman"/>
      <w:start w:val="1"/>
    </w:lvl>
  </w:abstractNum>
  <w:abstractNum w:abstractNumId="115">
    <w:nsid w:val="24F6AB8E"/>
    <w:multiLevelType w:val="hybridMultilevel"/>
    <w:lvl w:ilvl="0">
      <w:lvlJc w:val="left"/>
      <w:lvlText w:val="(%1)"/>
      <w:numFmt w:val="lowerLetter"/>
      <w:start w:val="4"/>
    </w:lvl>
  </w:abstractNum>
  <w:abstractNum w:abstractNumId="116">
    <w:nsid w:val="634C574C"/>
    <w:multiLevelType w:val="hybridMultilevel"/>
    <w:lvl w:ilvl="0">
      <w:lvlJc w:val="left"/>
      <w:lvlText w:val="(%1)"/>
      <w:numFmt w:val="lowerLetter"/>
      <w:start w:val="1"/>
    </w:lvl>
    <w:lvl w:ilvl="1">
      <w:lvlJc w:val="left"/>
      <w:lvlText w:val="(%2)"/>
      <w:numFmt w:val="lowerLetter"/>
      <w:start w:val="9"/>
    </w:lvl>
  </w:abstractNum>
  <w:abstractNum w:abstractNumId="117">
    <w:nsid w:val="24E99DD7"/>
    <w:multiLevelType w:val="hybridMultilevel"/>
    <w:lvl w:ilvl="0">
      <w:lvlJc w:val="left"/>
      <w:lvlText w:val="(%1)"/>
      <w:numFmt w:val="lowerRoman"/>
      <w:start w:val="2"/>
    </w:lvl>
  </w:abstractNum>
  <w:abstractNum w:abstractNumId="118">
    <w:nsid w:val="2A31B62D"/>
    <w:multiLevelType w:val="hybridMultilevel"/>
    <w:lvl w:ilvl="0">
      <w:lvlJc w:val="left"/>
      <w:lvlText w:val="(%1)"/>
      <w:numFmt w:val="lowerRoman"/>
      <w:start w:val="3"/>
    </w:lvl>
  </w:abstractNum>
  <w:abstractNum w:abstractNumId="119">
    <w:nsid w:val="1849C29B"/>
    <w:multiLevelType w:val="hybridMultilevel"/>
    <w:lvl w:ilvl="0">
      <w:lvlJc w:val="left"/>
      <w:lvlText w:val="(%1)"/>
      <w:numFmt w:val="lowerLetter"/>
      <w:start w:val="2"/>
    </w:lvl>
    <w:lvl w:ilvl="1">
      <w:lvlJc w:val="left"/>
      <w:lvlText w:val="(%2)"/>
      <w:numFmt w:val="lowerRoman"/>
      <w:start w:val="1"/>
    </w:lvl>
  </w:abstractNum>
  <w:abstractNum w:abstractNumId="120">
    <w:nsid w:val="7DFF9D09"/>
    <w:multiLevelType w:val="hybridMultilevel"/>
    <w:lvl w:ilvl="0">
      <w:lvlJc w:val="left"/>
      <w:lvlText w:val="(%1)"/>
      <w:numFmt w:val="lowerLetter"/>
      <w:start w:val="1"/>
    </w:lvl>
  </w:abstractNum>
  <w:abstractNum w:abstractNumId="121">
    <w:nsid w:val="754342"/>
    <w:multiLevelType w:val="hybridMultilevel"/>
    <w:lvl w:ilvl="0">
      <w:lvlJc w:val="left"/>
      <w:lvlText w:val="(%1)"/>
      <w:numFmt w:val="lowerLetter"/>
      <w:start w:val="3"/>
    </w:lvl>
  </w:abstractNum>
  <w:abstractNum w:abstractNumId="122">
    <w:nsid w:val="69E7F3E5"/>
    <w:multiLevelType w:val="hybridMultilevel"/>
    <w:lvl w:ilvl="0">
      <w:lvlJc w:val="left"/>
      <w:lvlText w:val="(%1)"/>
      <w:numFmt w:val="lowerLetter"/>
      <w:start w:val="1"/>
    </w:lvl>
    <w:lvl w:ilvl="1">
      <w:lvlJc w:val="left"/>
      <w:lvlText w:val="(%2)"/>
      <w:numFmt w:val="lowerRoman"/>
      <w:start w:val="1"/>
    </w:lvl>
  </w:abstractNum>
  <w:abstractNum w:abstractNumId="123">
    <w:nsid w:val="2A6DE806"/>
    <w:multiLevelType w:val="hybridMultilevel"/>
    <w:lvl w:ilvl="0">
      <w:lvlJc w:val="left"/>
      <w:lvlText w:val="(%1)"/>
      <w:numFmt w:val="lowerLetter"/>
      <w:start w:val="2"/>
    </w:lvl>
  </w:abstractNum>
  <w:abstractNum w:abstractNumId="124">
    <w:nsid w:val="1816F8C4"/>
    <w:multiLevelType w:val="hybridMultilevel"/>
    <w:lvl w:ilvl="0">
      <w:lvlJc w:val="left"/>
      <w:lvlText w:val="(%1)"/>
      <w:numFmt w:val="lowerLetter"/>
      <w:start w:val="3"/>
    </w:lvl>
  </w:abstractNum>
  <w:abstractNum w:abstractNumId="125">
    <w:nsid w:val="37DF2233"/>
    <w:multiLevelType w:val="hybridMultilevel"/>
    <w:lvl w:ilvl="0">
      <w:lvlJc w:val="left"/>
      <w:lvlText w:val="(%1)"/>
      <w:numFmt w:val="lowerLetter"/>
      <w:start w:val="1"/>
    </w:lvl>
  </w:abstractNum>
  <w:abstractNum w:abstractNumId="126">
    <w:nsid w:val="7AB49DAF"/>
    <w:multiLevelType w:val="hybridMultilevel"/>
    <w:lvl w:ilvl="0">
      <w:lvlJc w:val="left"/>
      <w:lvlText w:val="(%1)"/>
      <w:numFmt w:val="lowerLetter"/>
      <w:start w:val="2"/>
    </w:lvl>
    <w:lvl w:ilvl="1">
      <w:lvlJc w:val="left"/>
      <w:lvlText w:val="(%2)"/>
      <w:numFmt w:val="upperLetter"/>
      <w:start w:val="1"/>
    </w:lvl>
  </w:abstractNum>
  <w:abstractNum w:abstractNumId="127">
    <w:nsid w:val="759F82CD"/>
    <w:multiLevelType w:val="hybridMultilevel"/>
    <w:lvl w:ilvl="0">
      <w:lvlJc w:val="left"/>
      <w:lvlText w:val="(%1)"/>
      <w:numFmt w:val="lowerRoman"/>
      <w:start w:val="2"/>
    </w:lvl>
  </w:abstractNum>
  <w:abstractNum w:abstractNumId="128">
    <w:nsid w:val="61E74EA3"/>
    <w:multiLevelType w:val="hybridMultilevel"/>
    <w:lvl w:ilvl="0">
      <w:lvlJc w:val="left"/>
      <w:lvlText w:val="(%1)"/>
      <w:numFmt w:val="upperLetter"/>
      <w:start w:val="1"/>
    </w:lvl>
  </w:abstractNum>
  <w:abstractNum w:abstractNumId="129">
    <w:nsid w:val="597B4D84"/>
    <w:multiLevelType w:val="hybridMultilevel"/>
    <w:lvl w:ilvl="0">
      <w:lvlJc w:val="left"/>
      <w:lvlText w:val="(%1)"/>
      <w:numFmt w:val="lowerRoman"/>
      <w:start w:val="3"/>
    </w:lvl>
  </w:abstractNum>
  <w:abstractNum w:abstractNumId="130">
    <w:nsid w:val="F819E7F"/>
    <w:multiLevelType w:val="hybridMultilevel"/>
    <w:lvl w:ilvl="0">
      <w:lvlJc w:val="left"/>
      <w:lvlText w:val="(%1)"/>
      <w:numFmt w:val="lowerLetter"/>
      <w:start w:val="3"/>
    </w:lvl>
  </w:abstractNum>
  <w:abstractNum w:abstractNumId="131">
    <w:nsid w:val="57C7D42D"/>
    <w:multiLevelType w:val="hybridMultilevel"/>
    <w:lvl w:ilvl="0">
      <w:lvlJc w:val="left"/>
      <w:lvlText w:val="(%1)"/>
      <w:numFmt w:val="lowerLetter"/>
      <w:start w:val="4"/>
    </w:lvl>
  </w:abstractNum>
  <w:abstractNum w:abstractNumId="132">
    <w:nsid w:val="312167AD"/>
    <w:multiLevelType w:val="hybridMultilevel"/>
    <w:lvl w:ilvl="0">
      <w:lvlJc w:val="left"/>
      <w:lvlText w:val="(%1)"/>
      <w:numFmt w:val="lowerLetter"/>
      <w:start w:val="1"/>
    </w:lvl>
  </w:abstractNum>
  <w:abstractNum w:abstractNumId="133">
    <w:nsid w:val="631B64D4"/>
    <w:multiLevelType w:val="hybridMultilevel"/>
    <w:lvl w:ilvl="0">
      <w:lvlJc w:val="left"/>
      <w:lvlText w:val="(%1)"/>
      <w:numFmt w:val="lowerLetter"/>
      <w:start w:val="1"/>
    </w:lvl>
  </w:abstractNum>
  <w:abstractNum w:abstractNumId="134">
    <w:nsid w:val="78B5E776"/>
    <w:multiLevelType w:val="hybridMultilevel"/>
    <w:lvl w:ilvl="0">
      <w:lvlJc w:val="left"/>
      <w:lvlText w:val="(%1)"/>
      <w:numFmt w:val="lowerLetter"/>
      <w:start w:val="2"/>
    </w:lvl>
  </w:abstractNum>
  <w:abstractNum w:abstractNumId="135">
    <w:nsid w:val="75486E47"/>
    <w:multiLevelType w:val="hybridMultilevel"/>
    <w:lvl w:ilvl="0">
      <w:lvlJc w:val="left"/>
      <w:lvlText w:val="(%1)"/>
      <w:numFmt w:val="upperLetter"/>
      <w:start w:val="1"/>
    </w:lvl>
  </w:abstractNum>
  <w:abstractNum w:abstractNumId="136">
    <w:nsid w:val="6E534CDE"/>
    <w:multiLevelType w:val="hybridMultilevel"/>
    <w:lvl w:ilvl="0">
      <w:lvlJc w:val="left"/>
      <w:lvlText w:val="(%1)"/>
      <w:numFmt w:val="lowerLetter"/>
      <w:start w:val="1"/>
    </w:lvl>
    <w:lvl w:ilvl="1">
      <w:lvlJc w:val="left"/>
      <w:lvlText w:val="(%2)"/>
      <w:numFmt w:val="lowerRoman"/>
      <w:start w:val="1"/>
    </w:lvl>
  </w:abstractNum>
  <w:abstractNum w:abstractNumId="137">
    <w:nsid w:val="1A0DDE32"/>
    <w:multiLevelType w:val="hybridMultilevel"/>
    <w:lvl w:ilvl="0">
      <w:lvlJc w:val="left"/>
      <w:lvlText w:val="(%1)"/>
      <w:numFmt w:val="lowerLetter"/>
      <w:start w:val="1"/>
    </w:lvl>
  </w:abstractNum>
  <w:abstractNum w:abstractNumId="138">
    <w:nsid w:val="65968C1C"/>
    <w:multiLevelType w:val="hybridMultilevel"/>
    <w:lvl w:ilvl="0">
      <w:lvlJc w:val="left"/>
      <w:lvlText w:val="(%1)"/>
      <w:numFmt w:val="lowerLetter"/>
      <w:start w:val="1"/>
    </w:lvl>
  </w:abstractNum>
  <w:abstractNum w:abstractNumId="139">
    <w:nsid w:val="46263DEC"/>
    <w:multiLevelType w:val="hybridMultilevel"/>
    <w:lvl w:ilvl="0">
      <w:lvlJc w:val="left"/>
      <w:lvlText w:val="%1"/>
      <w:numFmt w:val="lowerLetter"/>
      <w:start w:val="1"/>
    </w:lvl>
    <w:lvl w:ilvl="1">
      <w:lvlJc w:val="left"/>
      <w:lvlText w:val="(%2)"/>
      <w:numFmt w:val="lowerLetter"/>
      <w:start w:val="2"/>
    </w:lvl>
  </w:abstractNum>
  <w:abstractNum w:abstractNumId="140">
    <w:nsid w:val="260D8C4A"/>
    <w:multiLevelType w:val="hybridMultilevel"/>
    <w:lvl w:ilvl="0">
      <w:lvlJc w:val="left"/>
      <w:lvlText w:val="(%1)"/>
      <w:numFmt w:val="lowerLetter"/>
      <w:start w:val="61"/>
    </w:lvl>
    <w:lvl w:ilvl="1">
      <w:lvlJc w:val="left"/>
      <w:lvlText w:val="%2"/>
      <w:numFmt w:val="lowerLetter"/>
      <w:start w:val="1"/>
    </w:lvl>
  </w:abstractNum>
  <w:abstractNum w:abstractNumId="141">
    <w:nsid w:val="73D4D3C4"/>
    <w:multiLevelType w:val="hybridMultilevel"/>
    <w:lvl w:ilvl="0">
      <w:lvlJc w:val="left"/>
      <w:lvlText w:val="(%1)"/>
      <w:numFmt w:val="lowerLetter"/>
      <w:start w:val="1"/>
    </w:lvl>
  </w:abstractNum>
  <w:abstractNum w:abstractNumId="142">
    <w:nsid w:val="746F2E30"/>
    <w:multiLevelType w:val="hybridMultilevel"/>
    <w:lvl w:ilvl="0">
      <w:lvlJc w:val="left"/>
      <w:lvlText w:val="%1."/>
      <w:numFmt w:val="decimal"/>
      <w:start w:val="1"/>
    </w:lvl>
  </w:abstractNum>
  <w:abstractNum w:abstractNumId="143">
    <w:nsid w:val="6FDE8AF6"/>
    <w:multiLevelType w:val="hybridMultilevel"/>
    <w:lvl w:ilvl="0">
      <w:lvlJc w:val="left"/>
      <w:lvlText w:val="%1."/>
      <w:numFmt w:val="decimal"/>
      <w:start w:val="6"/>
    </w:lvl>
  </w:abstractNum>
  <w:abstractNum w:abstractNumId="144">
    <w:nsid w:val="3FC32E20"/>
    <w:multiLevelType w:val="hybridMultilevel"/>
    <w:lvl w:ilvl="0">
      <w:lvlJc w:val="left"/>
      <w:lvlText w:val="%1."/>
      <w:numFmt w:val="decimal"/>
      <w:start w:val="1"/>
    </w:lvl>
  </w:abstractNum>
  <w:abstractNum w:abstractNumId="145">
    <w:nsid w:val="49C0E823"/>
    <w:multiLevelType w:val="hybridMultilevel"/>
    <w:lvl w:ilvl="0">
      <w:lvlJc w:val="left"/>
      <w:lvlText w:val="%1."/>
      <w:numFmt w:val="decimal"/>
      <w:start w:val="2"/>
    </w:lvl>
  </w:abstractNum>
  <w:abstractNum w:abstractNumId="146">
    <w:nsid w:val="14D53685"/>
    <w:multiLevelType w:val="hybridMultilevel"/>
    <w:lvl w:ilvl="0">
      <w:lvlJc w:val="left"/>
      <w:lvlText w:val="%1."/>
      <w:numFmt w:val="decimal"/>
      <w:start w:val="1"/>
    </w:lvl>
  </w:abstractNum>
  <w:abstractNum w:abstractNumId="147">
    <w:nsid w:val="230F856C"/>
    <w:multiLevelType w:val="hybridMultilevel"/>
    <w:lvl w:ilvl="0">
      <w:lvlJc w:val="left"/>
      <w:lvlText w:val="%1."/>
      <w:numFmt w:val="decimal"/>
      <w:start w:val="1"/>
    </w:lvl>
  </w:abstractNum>
  <w:abstractNum w:abstractNumId="148">
    <w:nsid w:val="6EAA85FB"/>
    <w:multiLevelType w:val="hybridMultilevel"/>
    <w:lvl w:ilvl="0">
      <w:lvlJc w:val="left"/>
      <w:lvlText w:val="%1."/>
      <w:numFmt w:val="decimal"/>
      <w:start w:val="4"/>
    </w:lvl>
  </w:abstractNum>
  <w:abstractNum w:abstractNumId="149">
    <w:nsid w:val="3F06ECB2"/>
    <w:multiLevelType w:val="hybridMultilevel"/>
    <w:lvl w:ilvl="0">
      <w:lvlJc w:val="left"/>
      <w:lvlText w:val="%1."/>
      <w:numFmt w:val="decimal"/>
      <w:start w:val="1"/>
    </w:lvl>
    <w:lvl w:ilvl="1">
      <w:lvlJc w:val="left"/>
      <w:lvlText w:val="(%2)"/>
      <w:numFmt w:val="lowerLetter"/>
      <w:start w:val="1"/>
    </w:lvl>
  </w:abstractNum>
  <w:abstractNum w:abstractNumId="150">
    <w:nsid w:val="3B594807"/>
    <w:multiLevelType w:val="hybridMultilevel"/>
    <w:lvl w:ilvl="0">
      <w:lvlJc w:val="left"/>
      <w:lvlText w:val="(%1)"/>
      <w:numFmt w:val="decimal"/>
      <w:start w:val="1"/>
    </w:lvl>
  </w:abstractNum>
  <w:abstractNum w:abstractNumId="151">
    <w:nsid w:val="6CAA2304"/>
    <w:multiLevelType w:val="hybridMultilevel"/>
    <w:lvl w:ilvl="0">
      <w:lvlJc w:val="left"/>
      <w:lvlText w:val="1"/>
      <w:numFmt w:val="bullet"/>
      <w:start w:val="1"/>
    </w:lvl>
  </w:abstractNum>
  <w:abstractNum w:abstractNumId="152">
    <w:nsid w:val="3F7C2FF4"/>
    <w:multiLevelType w:val="hybridMultilevel"/>
    <w:lvl w:ilvl="0">
      <w:lvlJc w:val="left"/>
      <w:lvlText w:val="2"/>
      <w:numFmt w:val="bullet"/>
      <w:start w:val="1"/>
    </w:lvl>
  </w:abstractNum>
  <w:abstractNum w:abstractNumId="153">
    <w:nsid w:val="25413BEC"/>
    <w:multiLevelType w:val="hybridMultilevel"/>
    <w:lvl w:ilvl="0">
      <w:lvlJc w:val="left"/>
      <w:lvlText w:val="3"/>
      <w:numFmt w:val="bullet"/>
      <w:start w:val="1"/>
    </w:lvl>
  </w:abstractNum>
  <w:abstractNum w:abstractNumId="154">
    <w:nsid w:val="17180B0B"/>
    <w:multiLevelType w:val="hybridMultilevel"/>
    <w:lvl w:ilvl="0">
      <w:lvlJc w:val="left"/>
      <w:lvlText w:val="4"/>
      <w:numFmt w:val="bullet"/>
      <w:start w:val="1"/>
    </w:lvl>
  </w:abstractNum>
  <w:abstractNum w:abstractNumId="155">
    <w:nsid w:val="579328B9"/>
    <w:multiLevelType w:val="hybridMultilevel"/>
    <w:lvl w:ilvl="0">
      <w:lvlJc w:val="left"/>
      <w:lvlText w:val="(%1)"/>
      <w:numFmt w:val="lowerLetter"/>
      <w:start w:val="1"/>
    </w:lvl>
  </w:abstractNum>
  <w:abstractNum w:abstractNumId="156">
    <w:nsid w:val="5D205E20"/>
    <w:multiLevelType w:val="hybridMultilevel"/>
    <w:lvl w:ilvl="0">
      <w:lvlJc w:val="left"/>
      <w:lvlText w:val="(%1)"/>
      <w:numFmt w:val="decimal"/>
      <w:start w:val="1"/>
    </w:lvl>
  </w:abstractNum>
  <w:abstractNum w:abstractNumId="157">
    <w:nsid w:val="11CCA8BA"/>
    <w:multiLevelType w:val="hybridMultilevel"/>
    <w:lvl w:ilvl="0">
      <w:lvlJc w:val="left"/>
      <w:lvlText w:val="5"/>
      <w:numFmt w:val="bullet"/>
      <w:start w:val="1"/>
    </w:lvl>
  </w:abstractNum>
  <w:abstractNum w:abstractNumId="158">
    <w:nsid w:val="4D32AB86"/>
    <w:multiLevelType w:val="hybridMultilevel"/>
    <w:lvl w:ilvl="0">
      <w:lvlJc w:val="left"/>
      <w:lvlText w:val="6"/>
      <w:numFmt w:val="bullet"/>
      <w:start w:val="1"/>
    </w:lvl>
  </w:abstractNum>
  <w:abstractNum w:abstractNumId="159">
    <w:nsid w:val="3F07ACC3"/>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2022-04-20T16:06:16Z</dcterms:created>
  <dcterms:modified xsi:type="dcterms:W3CDTF">2022-04-20T16:06:16Z</dcterms:modified>
</cp:coreProperties>
</file>