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331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33146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KELSO DAVID B</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08/10/2015</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3"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6"/>
        <w:spacing w:after="0"/>
        <w:tabs>
          <w:tab w:leader="none" w:pos="214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NEW YORK</w:t>
            </w:r>
          </w:p>
        </w:tc>
        <w:tc>
          <w:tcPr>
            <w:tcW w:w="1000" w:type="dxa"/>
            <w:vAlign w:val="bottom"/>
          </w:tcPr>
          <w:p>
            <w:pPr>
              <w:ind w:left="160"/>
              <w:spacing w:after="0"/>
              <w:rPr>
                <w:sz w:val="20"/>
                <w:szCs w:val="20"/>
                <w:color w:val="auto"/>
              </w:rPr>
            </w:pPr>
            <w:r>
              <w:rPr>
                <w:rFonts w:ascii="Arial" w:cs="Arial" w:eastAsia="Arial" w:hAnsi="Arial"/>
                <w:sz w:val="17"/>
                <w:szCs w:val="17"/>
                <w:color w:val="0000FF"/>
              </w:rPr>
              <w:t>NY</w:t>
            </w:r>
          </w:p>
        </w:tc>
        <w:tc>
          <w:tcPr>
            <w:tcW w:w="1680" w:type="dxa"/>
            <w:vAlign w:val="bottom"/>
          </w:tcPr>
          <w:p>
            <w:pPr>
              <w:ind w:left="440"/>
              <w:spacing w:after="0"/>
              <w:rPr>
                <w:sz w:val="20"/>
                <w:szCs w:val="20"/>
                <w:color w:val="auto"/>
              </w:rPr>
            </w:pPr>
            <w:r>
              <w:rPr>
                <w:rFonts w:ascii="Arial" w:cs="Arial" w:eastAsia="Arial" w:hAnsi="Arial"/>
                <w:sz w:val="17"/>
                <w:szCs w:val="17"/>
                <w:color w:val="0000FF"/>
              </w:rPr>
              <w:t>10017</w:t>
            </w:r>
          </w:p>
        </w:tc>
      </w:tr>
      <w:tr>
        <w:trPr>
          <w:trHeight w:val="156"/>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6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95"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2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Transaction</w:t>
            </w:r>
          </w:p>
        </w:tc>
        <w:tc>
          <w:tcPr>
            <w:tcW w:w="2020" w:type="dxa"/>
            <w:vAlign w:val="bottom"/>
            <w:gridSpan w:val="4"/>
          </w:tcPr>
          <w:p>
            <w:pPr>
              <w:ind w:left="120"/>
              <w:spacing w:after="0" w:line="132"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jc w:val="center"/>
              <w:ind w:right="34"/>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22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5"/>
              </w:rPr>
              <w:t>Common Stock, par value $0.001 per share</w:t>
            </w:r>
          </w:p>
        </w:tc>
        <w:tc>
          <w:tcPr>
            <w:tcW w:w="120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08/10/2015</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41"/>
              <w:spacing w:after="0"/>
              <w:rPr>
                <w:sz w:val="20"/>
                <w:szCs w:val="20"/>
                <w:color w:val="auto"/>
              </w:rPr>
            </w:pPr>
            <w:r>
              <w:rPr>
                <w:rFonts w:ascii="Arial" w:cs="Arial" w:eastAsia="Arial" w:hAnsi="Arial"/>
                <w:sz w:val="26"/>
                <w:szCs w:val="26"/>
                <w:color w:val="0000FF"/>
                <w:w w:val="93"/>
                <w:vertAlign w:val="subscript"/>
              </w:rPr>
              <w:t>M</w:t>
            </w:r>
            <w:r>
              <w:rPr>
                <w:rFonts w:ascii="Arial" w:cs="Arial" w:eastAsia="Arial" w:hAnsi="Arial"/>
                <w:sz w:val="11"/>
                <w:szCs w:val="11"/>
                <w:color w:val="008000"/>
                <w:w w:val="93"/>
              </w:rPr>
              <w:t>(1)</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w w:val="96"/>
              </w:rPr>
              <w:t>15,000</w:t>
            </w:r>
          </w:p>
        </w:tc>
        <w:tc>
          <w:tcPr>
            <w:tcW w:w="68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74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11.875</w:t>
            </w:r>
          </w:p>
        </w:tc>
        <w:tc>
          <w:tcPr>
            <w:tcW w:w="1220" w:type="dxa"/>
            <w:vAlign w:val="bottom"/>
            <w:tcBorders>
              <w:bottom w:val="single" w:sz="8" w:color="2C2C2C"/>
            </w:tcBorders>
            <w:gridSpan w:val="2"/>
          </w:tcPr>
          <w:p>
            <w:pPr>
              <w:jc w:val="right"/>
              <w:ind w:right="339"/>
              <w:spacing w:after="0"/>
              <w:rPr>
                <w:sz w:val="20"/>
                <w:szCs w:val="20"/>
                <w:color w:val="auto"/>
              </w:rPr>
            </w:pPr>
            <w:r>
              <w:rPr>
                <w:rFonts w:ascii="Arial" w:cs="Arial" w:eastAsia="Arial" w:hAnsi="Arial"/>
                <w:sz w:val="17"/>
                <w:szCs w:val="17"/>
                <w:color w:val="0000FF"/>
              </w:rPr>
              <w:t>20,000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5"/>
              </w:rPr>
              <w:t>Common Stock, par value $0.001 per share</w:t>
            </w:r>
          </w:p>
        </w:tc>
        <w:tc>
          <w:tcPr>
            <w:tcW w:w="120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08/10/2015</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41"/>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(1)</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w w:val="96"/>
              </w:rPr>
              <w:t>15,000</w:t>
            </w:r>
          </w:p>
        </w:tc>
        <w:tc>
          <w:tcPr>
            <w:tcW w:w="68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37.56</w:t>
            </w:r>
            <w:r>
              <w:rPr>
                <w:rFonts w:ascii="Arial" w:cs="Arial" w:eastAsia="Arial" w:hAnsi="Arial"/>
                <w:sz w:val="22"/>
                <w:szCs w:val="22"/>
                <w:color w:val="008000"/>
                <w:w w:val="91"/>
                <w:vertAlign w:val="superscript"/>
              </w:rPr>
              <w:t>(2)</w:t>
            </w:r>
          </w:p>
        </w:tc>
        <w:tc>
          <w:tcPr>
            <w:tcW w:w="1220" w:type="dxa"/>
            <w:vAlign w:val="bottom"/>
            <w:tcBorders>
              <w:bottom w:val="single" w:sz="8" w:color="2C2C2C"/>
            </w:tcBorders>
            <w:gridSpan w:val="2"/>
          </w:tcPr>
          <w:p>
            <w:pPr>
              <w:jc w:val="right"/>
              <w:ind w:right="379"/>
              <w:spacing w:after="0"/>
              <w:rPr>
                <w:sz w:val="20"/>
                <w:szCs w:val="20"/>
                <w:color w:val="auto"/>
              </w:rPr>
            </w:pPr>
            <w:r>
              <w:rPr>
                <w:rFonts w:ascii="Arial" w:cs="Arial" w:eastAsia="Arial" w:hAnsi="Arial"/>
                <w:sz w:val="17"/>
                <w:szCs w:val="17"/>
                <w:color w:val="0000FF"/>
              </w:rPr>
              <w:t>5,000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100" w:type="dxa"/>
            <w:vAlign w:val="bottom"/>
            <w:gridSpan w:val="10"/>
          </w:tcPr>
          <w:p>
            <w:pPr>
              <w:ind w:left="1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62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ind w:left="4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vMerge w:val="restart"/>
          </w:tcPr>
          <w:p>
            <w:pPr>
              <w:ind w:left="100"/>
              <w:spacing w:after="0" w:line="295" w:lineRule="exact"/>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740" w:type="dxa"/>
            <w:vAlign w:val="bottom"/>
          </w:tcPr>
          <w:p>
            <w:pPr>
              <w:spacing w:after="0"/>
              <w:rPr>
                <w:sz w:val="12"/>
                <w:szCs w:val="12"/>
                <w:color w:val="auto"/>
              </w:rPr>
            </w:pPr>
          </w:p>
        </w:tc>
        <w:tc>
          <w:tcPr>
            <w:tcW w:w="680" w:type="dxa"/>
            <w:vAlign w:val="bottom"/>
          </w:tcPr>
          <w:p>
            <w:pPr>
              <w:jc w:val="center"/>
              <w:ind w:right="34"/>
              <w:spacing w:after="0" w:line="148" w:lineRule="exact"/>
              <w:rPr>
                <w:sz w:val="20"/>
                <w:szCs w:val="20"/>
                <w:color w:val="auto"/>
              </w:rPr>
            </w:pPr>
            <w:r>
              <w:rPr>
                <w:rFonts w:ascii="Arial" w:cs="Arial" w:eastAsia="Arial" w:hAnsi="Arial"/>
                <w:sz w:val="13"/>
                <w:szCs w:val="13"/>
                <w:color w:val="0000FF"/>
                <w:w w:val="93"/>
              </w:rPr>
              <w:t>Stock,</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15,000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Options</w:t>
            </w:r>
          </w:p>
        </w:tc>
        <w:tc>
          <w:tcPr>
            <w:tcW w:w="800" w:type="dxa"/>
            <w:vAlign w:val="bottom"/>
          </w:tcPr>
          <w:p>
            <w:pPr>
              <w:ind w:left="20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11.875</w:t>
            </w:r>
          </w:p>
        </w:tc>
        <w:tc>
          <w:tcPr>
            <w:tcW w:w="1080" w:type="dxa"/>
            <w:vAlign w:val="bottom"/>
          </w:tcPr>
          <w:p>
            <w:pPr>
              <w:jc w:val="right"/>
              <w:ind w:right="138"/>
              <w:spacing w:after="0" w:line="148" w:lineRule="exact"/>
              <w:rPr>
                <w:sz w:val="20"/>
                <w:szCs w:val="20"/>
                <w:color w:val="auto"/>
              </w:rPr>
            </w:pPr>
            <w:r>
              <w:rPr>
                <w:rFonts w:ascii="Arial" w:cs="Arial" w:eastAsia="Arial" w:hAnsi="Arial"/>
                <w:sz w:val="13"/>
                <w:szCs w:val="13"/>
                <w:color w:val="0000FF"/>
              </w:rPr>
              <w:t>08/10/2015</w:t>
            </w: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ind w:left="380"/>
              <w:spacing w:after="0" w:line="148" w:lineRule="exact"/>
              <w:rPr>
                <w:sz w:val="20"/>
                <w:szCs w:val="20"/>
                <w:color w:val="auto"/>
              </w:rPr>
            </w:pPr>
            <w:r>
              <w:rPr>
                <w:rFonts w:ascii="Arial" w:cs="Arial" w:eastAsia="Arial" w:hAnsi="Arial"/>
                <w:sz w:val="13"/>
                <w:szCs w:val="13"/>
                <w:color w:val="0000FF"/>
              </w:rPr>
              <w:t>15,000</w:t>
            </w:r>
          </w:p>
        </w:tc>
        <w:tc>
          <w:tcPr>
            <w:tcW w:w="820" w:type="dxa"/>
            <w:vAlign w:val="bottom"/>
            <w:gridSpan w:val="2"/>
            <w:vMerge w:val="continue"/>
          </w:tcPr>
          <w:p>
            <w:pPr>
              <w:spacing w:after="0"/>
              <w:rPr>
                <w:sz w:val="12"/>
                <w:szCs w:val="12"/>
                <w:color w:val="auto"/>
              </w:rPr>
            </w:pPr>
          </w:p>
        </w:tc>
        <w:tc>
          <w:tcPr>
            <w:tcW w:w="740" w:type="dxa"/>
            <w:vAlign w:val="bottom"/>
          </w:tcPr>
          <w:p>
            <w:pPr>
              <w:ind w:left="40"/>
              <w:spacing w:after="0" w:line="148" w:lineRule="exact"/>
              <w:rPr>
                <w:sz w:val="20"/>
                <w:szCs w:val="20"/>
                <w:color w:val="auto"/>
              </w:rPr>
            </w:pPr>
            <w:r>
              <w:rPr>
                <w:rFonts w:ascii="Arial" w:cs="Arial" w:eastAsia="Arial" w:hAnsi="Arial"/>
                <w:sz w:val="13"/>
                <w:szCs w:val="13"/>
                <w:color w:val="0000FF"/>
              </w:rPr>
              <w:t>07/05/2016</w:t>
            </w:r>
          </w:p>
        </w:tc>
        <w:tc>
          <w:tcPr>
            <w:tcW w:w="680" w:type="dxa"/>
            <w:vAlign w:val="bottom"/>
          </w:tcPr>
          <w:p>
            <w:pPr>
              <w:ind w:left="40"/>
              <w:spacing w:after="0" w:line="148" w:lineRule="exact"/>
              <w:rPr>
                <w:sz w:val="20"/>
                <w:szCs w:val="20"/>
                <w:color w:val="auto"/>
              </w:rPr>
            </w:pPr>
            <w:r>
              <w:rPr>
                <w:rFonts w:ascii="Arial" w:cs="Arial" w:eastAsia="Arial" w:hAnsi="Arial"/>
                <w:sz w:val="13"/>
                <w:szCs w:val="13"/>
                <w:color w:val="0000FF"/>
              </w:rPr>
              <w:t>par value</w:t>
            </w: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ind w:left="1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line="148" w:lineRule="exact"/>
              <w:rPr>
                <w:sz w:val="20"/>
                <w:szCs w:val="20"/>
                <w:color w:val="auto"/>
              </w:rPr>
            </w:pPr>
            <w:r>
              <w:rPr>
                <w:rFonts w:ascii="Arial" w:cs="Arial" w:eastAsia="Arial" w:hAnsi="Arial"/>
                <w:sz w:val="13"/>
                <w:szCs w:val="13"/>
                <w:color w:val="0000FF"/>
                <w:w w:val="90"/>
              </w:rPr>
              <w:t>15,000</w:t>
            </w:r>
          </w:p>
        </w:tc>
        <w:tc>
          <w:tcPr>
            <w:tcW w:w="280" w:type="dxa"/>
            <w:vAlign w:val="bottom"/>
          </w:tcPr>
          <w:p>
            <w:pPr>
              <w:spacing w:after="0"/>
              <w:rPr>
                <w:sz w:val="12"/>
                <w:szCs w:val="12"/>
                <w:color w:val="auto"/>
              </w:rPr>
            </w:pPr>
          </w:p>
        </w:tc>
        <w:tc>
          <w:tcPr>
            <w:tcW w:w="70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jc w:val="center"/>
              <w:ind w:right="14"/>
              <w:spacing w:after="0" w:line="148" w:lineRule="exact"/>
              <w:rPr>
                <w:sz w:val="20"/>
                <w:szCs w:val="20"/>
                <w:color w:val="auto"/>
              </w:rPr>
            </w:pPr>
            <w:r>
              <w:rPr>
                <w:rFonts w:ascii="Arial" w:cs="Arial" w:eastAsia="Arial" w:hAnsi="Arial"/>
                <w:sz w:val="13"/>
                <w:szCs w:val="13"/>
                <w:color w:val="0000FF"/>
                <w:w w:val="90"/>
              </w:rPr>
              <w:t>$0.001</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per share</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August 10, 2015 the reporting person exercised previously issued options to purchase an aggregate of 15,000 shares of common stock of ExlService Holdings, Inc.</w:t>
      </w:r>
    </w:p>
    <w:p>
      <w:pPr>
        <w:spacing w:after="0" w:line="51" w:lineRule="exact"/>
        <w:rPr>
          <w:rFonts w:ascii="Arial" w:cs="Arial" w:eastAsia="Arial" w:hAnsi="Arial"/>
          <w:sz w:val="13"/>
          <w:szCs w:val="13"/>
          <w:color w:val="008000"/>
        </w:rPr>
      </w:pPr>
    </w:p>
    <w:p>
      <w:pPr>
        <w:jc w:val="both"/>
        <w:ind w:left="40" w:right="260" w:firstLine="8"/>
        <w:spacing w:after="0" w:line="303"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$37.50 to $37.71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15,000 of these options are fully vested and are exercisable.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15"/>
        </w:trPr>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Lazbart Oseni, Attorney-in-</w:t>
            </w:r>
          </w:p>
        </w:tc>
        <w:tc>
          <w:tcPr>
            <w:tcW w:w="14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08/12/2015</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7801"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2019-12-23T21:51:58Z</dcterms:created>
  <dcterms:modified xsi:type="dcterms:W3CDTF">2019-12-23T21:51:58Z</dcterms:modified>
</cp:coreProperties>
</file>