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Jetley Vivek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3"/>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08/11/2020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37"/>
        <w:spacing w:after="0"/>
        <w:rPr>
          <w:sz w:val="20"/>
          <w:szCs w:val="20"/>
          <w:color w:val="auto"/>
        </w:rPr>
      </w:pPr>
      <w:r>
        <w:rPr>
          <w:rFonts w:ascii="Arial" w:cs="Arial" w:eastAsia="Arial" w:hAnsi="Arial"/>
          <w:sz w:val="17"/>
          <w:szCs w:val="17"/>
          <w:color w:val="0000FF"/>
        </w:rPr>
        <w:t>EVP and Head of Analytics</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131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127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6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08/11/2020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1,316</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19.76</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39,536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08/11/2020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1,316</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68.5</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38,220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5"/>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80" w:type="dxa"/>
            <w:vAlign w:val="bottom"/>
            <w:gridSpan w:val="11"/>
          </w:tcPr>
          <w:p>
            <w:pPr>
              <w:jc w:val="center"/>
              <w:ind w:right="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36"/>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1,316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Options</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19.76</w:t>
            </w: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08/11/2020</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1,316</w:t>
            </w:r>
          </w:p>
        </w:tc>
        <w:tc>
          <w:tcPr>
            <w:tcW w:w="760" w:type="dxa"/>
            <w:vAlign w:val="bottom"/>
            <w:gridSpan w:val="2"/>
            <w:vMerge w:val="continue"/>
          </w:tcPr>
          <w:p>
            <w:pPr>
              <w:spacing w:after="0"/>
              <w:rPr>
                <w:sz w:val="12"/>
                <w:szCs w:val="12"/>
                <w:color w:val="auto"/>
              </w:rPr>
            </w:pPr>
          </w:p>
        </w:tc>
        <w:tc>
          <w:tcPr>
            <w:tcW w:w="760" w:type="dxa"/>
            <w:vAlign w:val="bottom"/>
            <w:gridSpan w:val="2"/>
          </w:tcPr>
          <w:p>
            <w:pPr>
              <w:ind w:left="40"/>
              <w:spacing w:after="0" w:line="143" w:lineRule="exact"/>
              <w:rPr>
                <w:sz w:val="20"/>
                <w:szCs w:val="20"/>
                <w:color w:val="auto"/>
              </w:rPr>
            </w:pPr>
            <w:r>
              <w:rPr>
                <w:rFonts w:ascii="Arial" w:cs="Arial" w:eastAsia="Arial" w:hAnsi="Arial"/>
                <w:sz w:val="13"/>
                <w:szCs w:val="13"/>
                <w:color w:val="0000FF"/>
              </w:rPr>
              <w:t>02/03/2021</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36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16"/>
              <w:spacing w:after="0" w:line="143"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-2241550</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exercised previously issued options to purchase an aggregate of 1,316 shares of common stock of ExlService Holdings.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45" w:lineRule="exact"/>
        <w:rPr>
          <w:rFonts w:ascii="Arial" w:cs="Arial" w:eastAsia="Arial" w:hAnsi="Arial"/>
          <w:sz w:val="13"/>
          <w:szCs w:val="13"/>
          <w:color w:val="008000"/>
        </w:rPr>
      </w:pPr>
    </w:p>
    <w:p>
      <w:pPr>
        <w:ind w:left="40" w:right="3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3, 2011, the reporting person was granted 8,320 stock options, ten percent of these options became vested and exercisable on February 3, 2012, an additional twenty percent of these options became vested and exercisable on February 3, 2013, an additional thirty percent of these options became vested and exercisable on February 3, 2014, and the balance of forty percent of these options became vested and exercisable on February 3, 2015.</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08/13/2020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9812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2020-08-13T16:03:07Z</dcterms:created>
  <dcterms:modified xsi:type="dcterms:W3CDTF">2020-08-13T16:03:07Z</dcterms:modified>
</cp:coreProperties>
</file>