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2620" cy="6760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76084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AYYAPPAN AJAY</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02/19/2022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6"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36"/>
        <w:spacing w:after="0"/>
        <w:rPr>
          <w:sz w:val="20"/>
          <w:szCs w:val="20"/>
          <w:color w:val="auto"/>
        </w:rPr>
      </w:pPr>
      <w:r>
        <w:rPr>
          <w:rFonts w:ascii="Arial" w:cs="Arial" w:eastAsia="Arial" w:hAnsi="Arial"/>
          <w:sz w:val="16"/>
          <w:szCs w:val="16"/>
          <w:color w:val="0000FF"/>
        </w:rPr>
        <w:t>SVP &amp; Gen Counsel/Corp. Sec'y.</w:t>
      </w:r>
    </w:p>
    <w:p>
      <w:pPr>
        <w:spacing w:after="0" w:line="325" w:lineRule="exact"/>
        <w:rPr>
          <w:sz w:val="24"/>
          <w:szCs w:val="24"/>
          <w:color w:val="auto"/>
        </w:rPr>
      </w:pPr>
    </w:p>
    <w:p>
      <w:pPr>
        <w:sectPr>
          <w:pgSz w:w="11900" w:h="16838" w:orient="portrait"/>
          <w:cols w:equalWidth="0" w:num="3">
            <w:col w:w="3200" w:space="720"/>
            <w:col w:w="3104" w:space="720"/>
            <w:col w:w="3336"/>
          </w:cols>
          <w:pgMar w:left="460" w:top="222" w:right="35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3" w:lineRule="exact"/>
        <w:rPr>
          <w:sz w:val="24"/>
          <w:szCs w:val="24"/>
          <w:color w:val="auto"/>
        </w:rPr>
      </w:pPr>
    </w:p>
    <w:p>
      <w:pPr>
        <w:sectPr>
          <w:pgSz w:w="11900" w:h="16838" w:orient="portrait"/>
          <w:cols w:equalWidth="0" w:num="2">
            <w:col w:w="3760" w:space="160"/>
            <w:col w:w="716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ind w:left="50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3"/>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20" w:type="dxa"/>
            <w:vAlign w:val="bottom"/>
            <w:gridSpan w:val="3"/>
          </w:tcPr>
          <w:p>
            <w:pPr>
              <w:ind w:left="60"/>
              <w:spacing w:after="0"/>
              <w:rPr>
                <w:sz w:val="20"/>
                <w:szCs w:val="20"/>
                <w:color w:val="auto"/>
              </w:rPr>
            </w:pPr>
            <w:r>
              <w:rPr>
                <w:rFonts w:ascii="Arial" w:cs="Arial" w:eastAsia="Arial" w:hAnsi="Arial"/>
                <w:sz w:val="17"/>
                <w:szCs w:val="17"/>
                <w:color w:val="0000FF"/>
                <w:w w:val="90"/>
              </w:rPr>
              <w:t>Common Stock, par value $0.001 per</w:t>
            </w:r>
          </w:p>
        </w:tc>
        <w:tc>
          <w:tcPr>
            <w:tcW w:w="1500" w:type="dxa"/>
            <w:vAlign w:val="bottom"/>
            <w:gridSpan w:val="2"/>
            <w:vMerge w:val="restart"/>
          </w:tcPr>
          <w:p>
            <w:pPr>
              <w:ind w:left="580"/>
              <w:spacing w:after="0"/>
              <w:rPr>
                <w:sz w:val="20"/>
                <w:szCs w:val="20"/>
                <w:color w:val="auto"/>
              </w:rPr>
            </w:pPr>
            <w:r>
              <w:rPr>
                <w:rFonts w:ascii="Arial" w:cs="Arial" w:eastAsia="Arial" w:hAnsi="Arial"/>
                <w:sz w:val="17"/>
                <w:szCs w:val="17"/>
                <w:color w:val="0000FF"/>
              </w:rPr>
              <w:t>02/19/2022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jc w:val="center"/>
              <w:ind w:right="260"/>
              <w:spacing w:after="0"/>
              <w:rPr>
                <w:sz w:val="20"/>
                <w:szCs w:val="20"/>
                <w:color w:val="auto"/>
              </w:rPr>
            </w:pPr>
            <w:r>
              <w:rPr>
                <w:rFonts w:ascii="Arial" w:cs="Arial" w:eastAsia="Arial" w:hAnsi="Arial"/>
                <w:sz w:val="13"/>
                <w:szCs w:val="13"/>
                <w:color w:val="0000FF"/>
              </w:rPr>
              <w:t>M</w:t>
            </w:r>
          </w:p>
        </w:tc>
        <w:tc>
          <w:tcPr>
            <w:tcW w:w="700" w:type="dxa"/>
            <w:vAlign w:val="bottom"/>
            <w:vMerge w:val="restart"/>
          </w:tcPr>
          <w:p>
            <w:pPr>
              <w:ind w:left="280"/>
              <w:spacing w:after="0"/>
              <w:rPr>
                <w:sz w:val="20"/>
                <w:szCs w:val="20"/>
                <w:color w:val="auto"/>
              </w:rPr>
            </w:pPr>
            <w:r>
              <w:rPr>
                <w:rFonts w:ascii="Arial" w:cs="Arial" w:eastAsia="Arial" w:hAnsi="Arial"/>
                <w:sz w:val="17"/>
                <w:szCs w:val="17"/>
                <w:color w:val="0000FF"/>
              </w:rPr>
              <w:t>840</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560" w:type="dxa"/>
            <w:vAlign w:val="bottom"/>
            <w:vMerge w:val="restart"/>
          </w:tcPr>
          <w:p>
            <w:pPr>
              <w:jc w:val="center"/>
              <w:ind w:left="73"/>
              <w:spacing w:after="0"/>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7"/>
                <w:szCs w:val="17"/>
                <w:color w:val="0000FF"/>
                <w:w w:val="93"/>
              </w:rPr>
              <w:t>3,959</w:t>
            </w:r>
          </w:p>
        </w:tc>
        <w:tc>
          <w:tcPr>
            <w:tcW w:w="28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62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20" w:type="dxa"/>
            <w:vAlign w:val="bottom"/>
            <w:gridSpan w:val="3"/>
          </w:tcPr>
          <w:p>
            <w:pPr>
              <w:ind w:left="60"/>
              <w:spacing w:after="0"/>
              <w:rPr>
                <w:sz w:val="20"/>
                <w:szCs w:val="20"/>
                <w:color w:val="auto"/>
              </w:rPr>
            </w:pPr>
            <w:r>
              <w:rPr>
                <w:rFonts w:ascii="Arial" w:cs="Arial" w:eastAsia="Arial" w:hAnsi="Arial"/>
                <w:sz w:val="17"/>
                <w:szCs w:val="17"/>
                <w:color w:val="0000FF"/>
                <w:w w:val="90"/>
              </w:rPr>
              <w:t>Common Stock, par value $0.001 per</w:t>
            </w:r>
          </w:p>
        </w:tc>
        <w:tc>
          <w:tcPr>
            <w:tcW w:w="1500" w:type="dxa"/>
            <w:vAlign w:val="bottom"/>
            <w:gridSpan w:val="2"/>
            <w:vMerge w:val="restart"/>
          </w:tcPr>
          <w:p>
            <w:pPr>
              <w:ind w:left="580"/>
              <w:spacing w:after="0"/>
              <w:rPr>
                <w:sz w:val="20"/>
                <w:szCs w:val="20"/>
                <w:color w:val="auto"/>
              </w:rPr>
            </w:pPr>
            <w:r>
              <w:rPr>
                <w:rFonts w:ascii="Arial" w:cs="Arial" w:eastAsia="Arial" w:hAnsi="Arial"/>
                <w:sz w:val="17"/>
                <w:szCs w:val="17"/>
                <w:color w:val="0000FF"/>
              </w:rPr>
              <w:t>02/19/2022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jc w:val="center"/>
              <w:ind w:right="260"/>
              <w:spacing w:after="0"/>
              <w:rPr>
                <w:sz w:val="20"/>
                <w:szCs w:val="20"/>
                <w:color w:val="auto"/>
              </w:rPr>
            </w:pPr>
            <w:r>
              <w:rPr>
                <w:rFonts w:ascii="Arial" w:cs="Arial" w:eastAsia="Arial" w:hAnsi="Arial"/>
                <w:sz w:val="13"/>
                <w:szCs w:val="13"/>
                <w:color w:val="0000FF"/>
              </w:rPr>
              <w:t>F</w:t>
            </w:r>
          </w:p>
        </w:tc>
        <w:tc>
          <w:tcPr>
            <w:tcW w:w="700" w:type="dxa"/>
            <w:vAlign w:val="bottom"/>
            <w:vMerge w:val="restart"/>
          </w:tcPr>
          <w:p>
            <w:pPr>
              <w:ind w:left="280"/>
              <w:spacing w:after="0"/>
              <w:rPr>
                <w:sz w:val="20"/>
                <w:szCs w:val="20"/>
                <w:color w:val="auto"/>
              </w:rPr>
            </w:pPr>
            <w:r>
              <w:rPr>
                <w:rFonts w:ascii="Arial" w:cs="Arial" w:eastAsia="Arial" w:hAnsi="Arial"/>
                <w:sz w:val="17"/>
                <w:szCs w:val="17"/>
                <w:color w:val="0000FF"/>
              </w:rPr>
              <w:t>440</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gridSpan w:val="3"/>
            <w:vMerge w:val="restart"/>
          </w:tcPr>
          <w:p>
            <w:pPr>
              <w:jc w:val="center"/>
              <w:ind w:right="21"/>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114.02</w:t>
            </w:r>
            <w:r>
              <w:rPr>
                <w:rFonts w:ascii="Arial" w:cs="Arial" w:eastAsia="Arial" w:hAnsi="Arial"/>
                <w:sz w:val="21"/>
                <w:szCs w:val="21"/>
                <w:color w:val="008000"/>
                <w:w w:val="86"/>
                <w:vertAlign w:val="superscript"/>
              </w:rPr>
              <w:t>(2)</w:t>
            </w:r>
          </w:p>
        </w:tc>
        <w:tc>
          <w:tcPr>
            <w:tcW w:w="340" w:type="dxa"/>
            <w:vAlign w:val="bottom"/>
          </w:tcPr>
          <w:p>
            <w:pPr>
              <w:spacing w:after="0"/>
              <w:rPr>
                <w:sz w:val="21"/>
                <w:szCs w:val="21"/>
                <w:color w:val="auto"/>
              </w:rPr>
            </w:pP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7"/>
                <w:szCs w:val="17"/>
                <w:color w:val="0000FF"/>
                <w:w w:val="93"/>
              </w:rPr>
              <w:t>3,519</w:t>
            </w:r>
          </w:p>
        </w:tc>
        <w:tc>
          <w:tcPr>
            <w:tcW w:w="28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62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20" w:type="dxa"/>
            <w:vAlign w:val="bottom"/>
            <w:gridSpan w:val="3"/>
          </w:tcPr>
          <w:p>
            <w:pPr>
              <w:ind w:left="60"/>
              <w:spacing w:after="0"/>
              <w:rPr>
                <w:sz w:val="20"/>
                <w:szCs w:val="20"/>
                <w:color w:val="auto"/>
              </w:rPr>
            </w:pPr>
            <w:r>
              <w:rPr>
                <w:rFonts w:ascii="Arial" w:cs="Arial" w:eastAsia="Arial" w:hAnsi="Arial"/>
                <w:sz w:val="17"/>
                <w:szCs w:val="17"/>
                <w:color w:val="0000FF"/>
                <w:w w:val="90"/>
              </w:rPr>
              <w:t>Common Stock, par value $0.001 per</w:t>
            </w:r>
          </w:p>
        </w:tc>
        <w:tc>
          <w:tcPr>
            <w:tcW w:w="1500" w:type="dxa"/>
            <w:vAlign w:val="bottom"/>
            <w:gridSpan w:val="2"/>
            <w:vMerge w:val="restart"/>
          </w:tcPr>
          <w:p>
            <w:pPr>
              <w:ind w:left="580"/>
              <w:spacing w:after="0"/>
              <w:rPr>
                <w:sz w:val="20"/>
                <w:szCs w:val="20"/>
                <w:color w:val="auto"/>
              </w:rPr>
            </w:pPr>
            <w:r>
              <w:rPr>
                <w:rFonts w:ascii="Arial" w:cs="Arial" w:eastAsia="Arial" w:hAnsi="Arial"/>
                <w:sz w:val="17"/>
                <w:szCs w:val="17"/>
                <w:color w:val="0000FF"/>
              </w:rPr>
              <w:t>02/20/2022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jc w:val="center"/>
              <w:ind w:right="260"/>
              <w:spacing w:after="0"/>
              <w:rPr>
                <w:sz w:val="20"/>
                <w:szCs w:val="20"/>
                <w:color w:val="auto"/>
              </w:rPr>
            </w:pPr>
            <w:r>
              <w:rPr>
                <w:rFonts w:ascii="Arial" w:cs="Arial" w:eastAsia="Arial" w:hAnsi="Arial"/>
                <w:sz w:val="13"/>
                <w:szCs w:val="13"/>
                <w:color w:val="0000FF"/>
              </w:rPr>
              <w:t>M</w:t>
            </w:r>
          </w:p>
        </w:tc>
        <w:tc>
          <w:tcPr>
            <w:tcW w:w="700" w:type="dxa"/>
            <w:vAlign w:val="bottom"/>
            <w:vMerge w:val="restart"/>
          </w:tcPr>
          <w:p>
            <w:pPr>
              <w:ind w:left="280"/>
              <w:spacing w:after="0"/>
              <w:rPr>
                <w:sz w:val="20"/>
                <w:szCs w:val="20"/>
                <w:color w:val="auto"/>
              </w:rPr>
            </w:pPr>
            <w:r>
              <w:rPr>
                <w:rFonts w:ascii="Arial" w:cs="Arial" w:eastAsia="Arial" w:hAnsi="Arial"/>
                <w:sz w:val="17"/>
                <w:szCs w:val="17"/>
                <w:color w:val="0000FF"/>
              </w:rPr>
              <w:t>516</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560" w:type="dxa"/>
            <w:vAlign w:val="bottom"/>
            <w:vMerge w:val="restart"/>
          </w:tcPr>
          <w:p>
            <w:pPr>
              <w:jc w:val="center"/>
              <w:ind w:left="73"/>
              <w:spacing w:after="0"/>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7"/>
                <w:szCs w:val="17"/>
                <w:color w:val="0000FF"/>
                <w:w w:val="93"/>
              </w:rPr>
              <w:t>4,035</w:t>
            </w:r>
          </w:p>
        </w:tc>
        <w:tc>
          <w:tcPr>
            <w:tcW w:w="28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62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20" w:type="dxa"/>
            <w:vAlign w:val="bottom"/>
            <w:gridSpan w:val="3"/>
          </w:tcPr>
          <w:p>
            <w:pPr>
              <w:ind w:left="60"/>
              <w:spacing w:after="0"/>
              <w:rPr>
                <w:sz w:val="20"/>
                <w:szCs w:val="20"/>
                <w:color w:val="auto"/>
              </w:rPr>
            </w:pPr>
            <w:r>
              <w:rPr>
                <w:rFonts w:ascii="Arial" w:cs="Arial" w:eastAsia="Arial" w:hAnsi="Arial"/>
                <w:sz w:val="17"/>
                <w:szCs w:val="17"/>
                <w:color w:val="0000FF"/>
                <w:w w:val="90"/>
              </w:rPr>
              <w:t>Common Stock, par value $0.001 per</w:t>
            </w:r>
          </w:p>
        </w:tc>
        <w:tc>
          <w:tcPr>
            <w:tcW w:w="1500" w:type="dxa"/>
            <w:vAlign w:val="bottom"/>
            <w:gridSpan w:val="2"/>
            <w:vMerge w:val="restart"/>
          </w:tcPr>
          <w:p>
            <w:pPr>
              <w:ind w:left="580"/>
              <w:spacing w:after="0"/>
              <w:rPr>
                <w:sz w:val="20"/>
                <w:szCs w:val="20"/>
                <w:color w:val="auto"/>
              </w:rPr>
            </w:pPr>
            <w:r>
              <w:rPr>
                <w:rFonts w:ascii="Arial" w:cs="Arial" w:eastAsia="Arial" w:hAnsi="Arial"/>
                <w:sz w:val="17"/>
                <w:szCs w:val="17"/>
                <w:color w:val="0000FF"/>
              </w:rPr>
              <w:t>02/20/2022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jc w:val="center"/>
              <w:ind w:right="260"/>
              <w:spacing w:after="0"/>
              <w:rPr>
                <w:sz w:val="20"/>
                <w:szCs w:val="20"/>
                <w:color w:val="auto"/>
              </w:rPr>
            </w:pPr>
            <w:r>
              <w:rPr>
                <w:rFonts w:ascii="Arial" w:cs="Arial" w:eastAsia="Arial" w:hAnsi="Arial"/>
                <w:sz w:val="13"/>
                <w:szCs w:val="13"/>
                <w:color w:val="0000FF"/>
              </w:rPr>
              <w:t>F</w:t>
            </w:r>
          </w:p>
        </w:tc>
        <w:tc>
          <w:tcPr>
            <w:tcW w:w="700" w:type="dxa"/>
            <w:vAlign w:val="bottom"/>
            <w:vMerge w:val="restart"/>
          </w:tcPr>
          <w:p>
            <w:pPr>
              <w:ind w:left="280"/>
              <w:spacing w:after="0"/>
              <w:rPr>
                <w:sz w:val="20"/>
                <w:szCs w:val="20"/>
                <w:color w:val="auto"/>
              </w:rPr>
            </w:pPr>
            <w:r>
              <w:rPr>
                <w:rFonts w:ascii="Arial" w:cs="Arial" w:eastAsia="Arial" w:hAnsi="Arial"/>
                <w:sz w:val="17"/>
                <w:szCs w:val="17"/>
                <w:color w:val="0000FF"/>
              </w:rPr>
              <w:t>271</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gridSpan w:val="3"/>
            <w:vMerge w:val="restart"/>
          </w:tcPr>
          <w:p>
            <w:pPr>
              <w:jc w:val="center"/>
              <w:ind w:right="21"/>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114.02</w:t>
            </w:r>
            <w:r>
              <w:rPr>
                <w:rFonts w:ascii="Arial" w:cs="Arial" w:eastAsia="Arial" w:hAnsi="Arial"/>
                <w:sz w:val="21"/>
                <w:szCs w:val="21"/>
                <w:color w:val="008000"/>
                <w:w w:val="86"/>
                <w:vertAlign w:val="superscript"/>
              </w:rPr>
              <w:t>(3)</w:t>
            </w:r>
          </w:p>
        </w:tc>
        <w:tc>
          <w:tcPr>
            <w:tcW w:w="340" w:type="dxa"/>
            <w:vAlign w:val="bottom"/>
          </w:tcPr>
          <w:p>
            <w:pPr>
              <w:spacing w:after="0"/>
              <w:rPr>
                <w:sz w:val="21"/>
                <w:szCs w:val="21"/>
                <w:color w:val="auto"/>
              </w:rPr>
            </w:pP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7"/>
                <w:szCs w:val="17"/>
                <w:color w:val="0000FF"/>
                <w:w w:val="93"/>
              </w:rPr>
              <w:t>3,764</w:t>
            </w:r>
          </w:p>
        </w:tc>
        <w:tc>
          <w:tcPr>
            <w:tcW w:w="28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40" w:type="dxa"/>
            <w:vAlign w:val="bottom"/>
            <w:tcBorders>
              <w:bottom w:val="single" w:sz="8" w:color="2C2C2C"/>
            </w:tcBorders>
            <w:gridSpan w:val="9"/>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340" w:type="dxa"/>
            <w:vAlign w:val="bottom"/>
            <w:gridSpan w:val="9"/>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0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660" w:type="dxa"/>
            <w:vAlign w:val="bottom"/>
          </w:tcPr>
          <w:p>
            <w:pPr>
              <w:jc w:val="center"/>
              <w:spacing w:after="0" w:line="144" w:lineRule="exact"/>
              <w:rPr>
                <w:sz w:val="20"/>
                <w:szCs w:val="20"/>
                <w:color w:val="auto"/>
              </w:rPr>
            </w:pPr>
            <w:r>
              <w:rPr>
                <w:rFonts w:ascii="Arial" w:cs="Arial" w:eastAsia="Arial" w:hAnsi="Arial"/>
                <w:sz w:val="13"/>
                <w:szCs w:val="13"/>
                <w:color w:val="0000FF"/>
                <w:w w:val="88"/>
              </w:rPr>
              <w:t>Stock,</w:t>
            </w:r>
          </w:p>
        </w:tc>
        <w:tc>
          <w:tcPr>
            <w:tcW w:w="560" w:type="dxa"/>
            <w:vAlign w:val="bottom"/>
            <w:vMerge w:val="restart"/>
          </w:tcPr>
          <w:p>
            <w:pPr>
              <w:ind w:left="140"/>
              <w:spacing w:after="0"/>
              <w:rPr>
                <w:sz w:val="20"/>
                <w:szCs w:val="20"/>
                <w:color w:val="auto"/>
              </w:rPr>
            </w:pPr>
            <w:r>
              <w:rPr>
                <w:rFonts w:ascii="Arial" w:cs="Arial" w:eastAsia="Arial" w:hAnsi="Arial"/>
                <w:sz w:val="17"/>
                <w:szCs w:val="17"/>
                <w:color w:val="0000FF"/>
              </w:rPr>
              <w:t>840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40" w:type="dxa"/>
            <w:vAlign w:val="bottom"/>
          </w:tcPr>
          <w:p>
            <w:pPr>
              <w:jc w:val="right"/>
              <w:ind w:right="235"/>
              <w:spacing w:after="0" w:line="144" w:lineRule="exact"/>
              <w:rPr>
                <w:sz w:val="20"/>
                <w:szCs w:val="20"/>
                <w:color w:val="auto"/>
              </w:rPr>
            </w:pPr>
            <w:r>
              <w:rPr>
                <w:rFonts w:ascii="Arial" w:cs="Arial" w:eastAsia="Arial" w:hAnsi="Arial"/>
                <w:sz w:val="13"/>
                <w:szCs w:val="13"/>
                <w:color w:val="0000FF"/>
              </w:rPr>
              <w:t>02/19/2022</w:t>
            </w:r>
          </w:p>
        </w:tc>
        <w:tc>
          <w:tcPr>
            <w:tcW w:w="1060" w:type="dxa"/>
            <w:vAlign w:val="bottom"/>
          </w:tcPr>
          <w:p>
            <w:pPr>
              <w:spacing w:after="0"/>
              <w:rPr>
                <w:sz w:val="12"/>
                <w:szCs w:val="12"/>
                <w:color w:val="auto"/>
              </w:rPr>
            </w:pPr>
          </w:p>
        </w:tc>
        <w:tc>
          <w:tcPr>
            <w:tcW w:w="440" w:type="dxa"/>
            <w:vAlign w:val="bottom"/>
          </w:tcPr>
          <w:p>
            <w:pPr>
              <w:ind w:left="140"/>
              <w:spacing w:after="0" w:line="144"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00" w:type="dxa"/>
            <w:vAlign w:val="bottom"/>
          </w:tcPr>
          <w:p>
            <w:pPr>
              <w:ind w:left="380"/>
              <w:spacing w:after="0" w:line="144" w:lineRule="exact"/>
              <w:rPr>
                <w:sz w:val="20"/>
                <w:szCs w:val="20"/>
                <w:color w:val="auto"/>
              </w:rPr>
            </w:pPr>
            <w:r>
              <w:rPr>
                <w:rFonts w:ascii="Arial" w:cs="Arial" w:eastAsia="Arial" w:hAnsi="Arial"/>
                <w:sz w:val="13"/>
                <w:szCs w:val="13"/>
                <w:color w:val="0000FF"/>
              </w:rPr>
              <w:t>840</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spacing w:after="0" w:line="144" w:lineRule="exact"/>
              <w:rPr>
                <w:sz w:val="20"/>
                <w:szCs w:val="20"/>
                <w:color w:val="auto"/>
              </w:rPr>
            </w:pPr>
            <w:r>
              <w:rPr>
                <w:rFonts w:ascii="Arial" w:cs="Arial" w:eastAsia="Arial" w:hAnsi="Arial"/>
                <w:sz w:val="13"/>
                <w:szCs w:val="13"/>
                <w:color w:val="0000FF"/>
                <w:w w:val="89"/>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0000FF"/>
              </w:rPr>
              <w:t>1,680</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line="144" w:lineRule="exact"/>
              <w:rPr>
                <w:sz w:val="20"/>
                <w:szCs w:val="20"/>
                <w:color w:val="auto"/>
              </w:rPr>
            </w:pPr>
            <w:r>
              <w:rPr>
                <w:rFonts w:ascii="Arial" w:cs="Arial" w:eastAsia="Arial" w:hAnsi="Arial"/>
                <w:sz w:val="13"/>
                <w:szCs w:val="13"/>
                <w:color w:val="0000FF"/>
                <w:w w:val="90"/>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7"/>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660" w:type="dxa"/>
            <w:vAlign w:val="bottom"/>
          </w:tcPr>
          <w:p>
            <w:pPr>
              <w:jc w:val="center"/>
              <w:spacing w:after="0" w:line="144" w:lineRule="exact"/>
              <w:rPr>
                <w:sz w:val="20"/>
                <w:szCs w:val="20"/>
                <w:color w:val="auto"/>
              </w:rPr>
            </w:pPr>
            <w:r>
              <w:rPr>
                <w:rFonts w:ascii="Arial" w:cs="Arial" w:eastAsia="Arial" w:hAnsi="Arial"/>
                <w:sz w:val="13"/>
                <w:szCs w:val="13"/>
                <w:color w:val="0000FF"/>
                <w:w w:val="88"/>
              </w:rPr>
              <w:t>Stock,</w:t>
            </w:r>
          </w:p>
        </w:tc>
        <w:tc>
          <w:tcPr>
            <w:tcW w:w="560" w:type="dxa"/>
            <w:vAlign w:val="bottom"/>
            <w:vMerge w:val="restart"/>
          </w:tcPr>
          <w:p>
            <w:pPr>
              <w:ind w:left="140"/>
              <w:spacing w:after="0"/>
              <w:rPr>
                <w:sz w:val="20"/>
                <w:szCs w:val="20"/>
                <w:color w:val="auto"/>
              </w:rPr>
            </w:pPr>
            <w:r>
              <w:rPr>
                <w:rFonts w:ascii="Arial" w:cs="Arial" w:eastAsia="Arial" w:hAnsi="Arial"/>
                <w:sz w:val="17"/>
                <w:szCs w:val="17"/>
                <w:color w:val="0000FF"/>
              </w:rPr>
              <w:t>516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40" w:type="dxa"/>
            <w:vAlign w:val="bottom"/>
          </w:tcPr>
          <w:p>
            <w:pPr>
              <w:jc w:val="right"/>
              <w:ind w:right="235"/>
              <w:spacing w:after="0" w:line="144" w:lineRule="exact"/>
              <w:rPr>
                <w:sz w:val="20"/>
                <w:szCs w:val="20"/>
                <w:color w:val="auto"/>
              </w:rPr>
            </w:pPr>
            <w:r>
              <w:rPr>
                <w:rFonts w:ascii="Arial" w:cs="Arial" w:eastAsia="Arial" w:hAnsi="Arial"/>
                <w:sz w:val="13"/>
                <w:szCs w:val="13"/>
                <w:color w:val="0000FF"/>
              </w:rPr>
              <w:t>02/20/2022</w:t>
            </w:r>
          </w:p>
        </w:tc>
        <w:tc>
          <w:tcPr>
            <w:tcW w:w="1060" w:type="dxa"/>
            <w:vAlign w:val="bottom"/>
          </w:tcPr>
          <w:p>
            <w:pPr>
              <w:spacing w:after="0"/>
              <w:rPr>
                <w:sz w:val="12"/>
                <w:szCs w:val="12"/>
                <w:color w:val="auto"/>
              </w:rPr>
            </w:pPr>
          </w:p>
        </w:tc>
        <w:tc>
          <w:tcPr>
            <w:tcW w:w="440" w:type="dxa"/>
            <w:vAlign w:val="bottom"/>
          </w:tcPr>
          <w:p>
            <w:pPr>
              <w:ind w:left="140"/>
              <w:spacing w:after="0" w:line="144"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00" w:type="dxa"/>
            <w:vAlign w:val="bottom"/>
          </w:tcPr>
          <w:p>
            <w:pPr>
              <w:ind w:left="380"/>
              <w:spacing w:after="0" w:line="144" w:lineRule="exact"/>
              <w:rPr>
                <w:sz w:val="20"/>
                <w:szCs w:val="20"/>
                <w:color w:val="auto"/>
              </w:rPr>
            </w:pPr>
            <w:r>
              <w:rPr>
                <w:rFonts w:ascii="Arial" w:cs="Arial" w:eastAsia="Arial" w:hAnsi="Arial"/>
                <w:sz w:val="13"/>
                <w:szCs w:val="13"/>
                <w:color w:val="0000FF"/>
              </w:rPr>
              <w:t>516</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spacing w:after="0" w:line="144" w:lineRule="exact"/>
              <w:rPr>
                <w:sz w:val="20"/>
                <w:szCs w:val="20"/>
                <w:color w:val="auto"/>
              </w:rPr>
            </w:pPr>
            <w:r>
              <w:rPr>
                <w:rFonts w:ascii="Arial" w:cs="Arial" w:eastAsia="Arial" w:hAnsi="Arial"/>
                <w:sz w:val="13"/>
                <w:szCs w:val="13"/>
                <w:color w:val="0000FF"/>
                <w:w w:val="89"/>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12"/>
                <w:szCs w:val="12"/>
                <w:color w:val="auto"/>
              </w:rPr>
            </w:pPr>
          </w:p>
        </w:tc>
        <w:tc>
          <w:tcPr>
            <w:tcW w:w="660" w:type="dxa"/>
            <w:vAlign w:val="bottom"/>
          </w:tcPr>
          <w:p>
            <w:pPr>
              <w:jc w:val="right"/>
              <w:ind w:right="20"/>
              <w:spacing w:after="0" w:line="144" w:lineRule="exact"/>
              <w:rPr>
                <w:sz w:val="20"/>
                <w:szCs w:val="20"/>
                <w:color w:val="auto"/>
              </w:rPr>
            </w:pPr>
            <w:r>
              <w:rPr>
                <w:rFonts w:ascii="Arial" w:cs="Arial" w:eastAsia="Arial" w:hAnsi="Arial"/>
                <w:sz w:val="13"/>
                <w:szCs w:val="13"/>
                <w:color w:val="0000FF"/>
              </w:rPr>
              <w:t>517</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line="144" w:lineRule="exact"/>
              <w:rPr>
                <w:sz w:val="20"/>
                <w:szCs w:val="20"/>
                <w:color w:val="auto"/>
              </w:rPr>
            </w:pPr>
            <w:r>
              <w:rPr>
                <w:rFonts w:ascii="Arial" w:cs="Arial" w:eastAsia="Arial" w:hAnsi="Arial"/>
                <w:sz w:val="13"/>
                <w:szCs w:val="13"/>
                <w:color w:val="0000FF"/>
                <w:w w:val="90"/>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7"/>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-2833370</wp:posOffset>
            </wp:positionV>
            <wp:extent cx="29210" cy="2838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83845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340" w:firstLine="3"/>
        <w:spacing w:after="0" w:line="294"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19, 2022.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ind w:left="40" w:right="340" w:firstLine="3"/>
        <w:spacing w:after="0" w:line="294"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20, 2022.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ind w:left="40" w:right="24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19, 2020, the reporting person was granted 3,360 restricted stock units, vesting in four annual installments beginning on the first anniversary of the grant date. 25 percent of the restricted stock units became vested on February 19, 2021, an additional twenty-five percent of the restricted stock units became vested on February 19, 2022, an additional twenty-five percent of the restricted stock units became vested on February 19, 2023, and the remaining balance of twenty-five percent of the restricted stock units will vest on February 19, 2024.</w:t>
      </w:r>
    </w:p>
    <w:p>
      <w:pPr>
        <w:spacing w:after="0" w:line="31" w:lineRule="exact"/>
        <w:rPr>
          <w:rFonts w:ascii="Arial" w:cs="Arial" w:eastAsia="Arial" w:hAnsi="Arial"/>
          <w:sz w:val="13"/>
          <w:szCs w:val="13"/>
          <w:color w:val="008000"/>
        </w:rPr>
      </w:pPr>
    </w:p>
    <w:p>
      <w:pPr>
        <w:jc w:val="both"/>
        <w:ind w:left="40" w:right="22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20, 2019, the reporting person was granted 2,065 restricted stock units, vesting in four equal annual installments beginning on the first anniversary of the grant date. 25 percent of the restricted stock units became vested on February 20, 2020, an additional 25 percent of the restricted stock units became vested on February 20, 2021, an additional 25 percent of the restricted stock units became vested on February 20, 2022, and the remaining balance of 25 percent of the restricted stock units will vest on February 20, 2023.</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8"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26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3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209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2022-02-23T17:00:05Z</dcterms:created>
  <dcterms:modified xsi:type="dcterms:W3CDTF">2022-02-23T17:00:05Z</dcterms:modified>
</cp:coreProperties>
</file>