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728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72833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BAGAI PAVAN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02/04/2011</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03"/>
        <w:spacing w:after="0"/>
        <w:rPr>
          <w:sz w:val="20"/>
          <w:szCs w:val="20"/>
          <w:color w:val="auto"/>
        </w:rPr>
      </w:pPr>
      <w:r>
        <w:rPr>
          <w:rFonts w:ascii="Arial" w:cs="Arial" w:eastAsia="Arial" w:hAnsi="Arial"/>
          <w:sz w:val="18"/>
          <w:szCs w:val="18"/>
          <w:color w:val="0000FF"/>
        </w:rPr>
        <w:t>Chief Operating Officer</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00" w:type="dxa"/>
            <w:vAlign w:val="bottom"/>
          </w:tcPr>
          <w:p>
            <w:pPr>
              <w:spacing w:after="0"/>
              <w:rPr>
                <w:sz w:val="14"/>
                <w:szCs w:val="14"/>
                <w:color w:val="auto"/>
              </w:rPr>
            </w:pPr>
          </w:p>
        </w:tc>
        <w:tc>
          <w:tcPr>
            <w:tcW w:w="1240" w:type="dxa"/>
            <w:vAlign w:val="bottom"/>
            <w:gridSpan w:val="2"/>
          </w:tcPr>
          <w:p>
            <w:pPr>
              <w:ind w:left="14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2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4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180" w:type="dxa"/>
            <w:vAlign w:val="bottom"/>
            <w:tcBorders>
              <w:bottom w:val="single" w:sz="8" w:color="2C2C2C"/>
            </w:tcBorders>
            <w:gridSpan w:val="4"/>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180" w:type="dxa"/>
            <w:vAlign w:val="bottom"/>
            <w:gridSpan w:val="4"/>
          </w:tcPr>
          <w:p>
            <w:pPr>
              <w:ind w:left="60"/>
              <w:spacing w:after="0"/>
              <w:rPr>
                <w:sz w:val="20"/>
                <w:szCs w:val="20"/>
                <w:color w:val="auto"/>
              </w:rPr>
            </w:pPr>
            <w:r>
              <w:rPr>
                <w:rFonts w:ascii="Arial" w:cs="Arial" w:eastAsia="Arial" w:hAnsi="Arial"/>
                <w:sz w:val="18"/>
                <w:szCs w:val="18"/>
                <w:color w:val="0000FF"/>
              </w:rPr>
              <w:t>Common Stock, par value $0.0001 per</w:t>
            </w:r>
          </w:p>
        </w:tc>
        <w:tc>
          <w:tcPr>
            <w:tcW w:w="1240" w:type="dxa"/>
            <w:vAlign w:val="bottom"/>
            <w:gridSpan w:val="2"/>
            <w:vMerge w:val="restart"/>
          </w:tcPr>
          <w:p>
            <w:pPr>
              <w:ind w:left="240"/>
              <w:spacing w:after="0"/>
              <w:rPr>
                <w:sz w:val="20"/>
                <w:szCs w:val="20"/>
                <w:color w:val="auto"/>
              </w:rPr>
            </w:pPr>
            <w:r>
              <w:rPr>
                <w:rFonts w:ascii="Arial" w:cs="Arial" w:eastAsia="Arial" w:hAnsi="Arial"/>
                <w:sz w:val="18"/>
                <w:szCs w:val="18"/>
                <w:color w:val="0000FF"/>
              </w:rPr>
              <w:t>02/04/2011</w:t>
            </w: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vMerge w:val="restart"/>
          </w:tcPr>
          <w:p>
            <w:pPr>
              <w:jc w:val="center"/>
              <w:ind w:right="257"/>
              <w:spacing w:after="0"/>
              <w:rPr>
                <w:sz w:val="20"/>
                <w:szCs w:val="20"/>
                <w:color w:val="auto"/>
              </w:rPr>
            </w:pPr>
            <w:r>
              <w:rPr>
                <w:rFonts w:ascii="Arial" w:cs="Arial" w:eastAsia="Arial" w:hAnsi="Arial"/>
                <w:sz w:val="14"/>
                <w:szCs w:val="14"/>
                <w:color w:val="0000FF"/>
              </w:rPr>
              <w:t>M</w:t>
            </w:r>
          </w:p>
        </w:tc>
        <w:tc>
          <w:tcPr>
            <w:tcW w:w="720" w:type="dxa"/>
            <w:vAlign w:val="bottom"/>
            <w:vMerge w:val="restart"/>
          </w:tcPr>
          <w:p>
            <w:pPr>
              <w:ind w:left="260"/>
              <w:spacing w:after="0"/>
              <w:rPr>
                <w:sz w:val="20"/>
                <w:szCs w:val="20"/>
                <w:color w:val="auto"/>
              </w:rPr>
            </w:pPr>
            <w:r>
              <w:rPr>
                <w:rFonts w:ascii="Arial" w:cs="Arial" w:eastAsia="Arial" w:hAnsi="Arial"/>
                <w:sz w:val="18"/>
                <w:szCs w:val="18"/>
                <w:color w:val="0000FF"/>
                <w:w w:val="97"/>
              </w:rPr>
              <w:t>1,250</w:t>
            </w:r>
          </w:p>
        </w:tc>
        <w:tc>
          <w:tcPr>
            <w:tcW w:w="700" w:type="dxa"/>
            <w:vAlign w:val="bottom"/>
            <w:vMerge w:val="restart"/>
          </w:tcPr>
          <w:p>
            <w:pPr>
              <w:jc w:val="right"/>
              <w:ind w:right="154"/>
              <w:spacing w:after="0"/>
              <w:rPr>
                <w:sz w:val="20"/>
                <w:szCs w:val="20"/>
                <w:color w:val="auto"/>
              </w:rPr>
            </w:pPr>
            <w:r>
              <w:rPr>
                <w:rFonts w:ascii="Arial" w:cs="Arial" w:eastAsia="Arial" w:hAnsi="Arial"/>
                <w:sz w:val="18"/>
                <w:szCs w:val="18"/>
                <w:color w:val="0000FF"/>
              </w:rPr>
              <w:t>A</w:t>
            </w:r>
          </w:p>
        </w:tc>
        <w:tc>
          <w:tcPr>
            <w:tcW w:w="540" w:type="dxa"/>
            <w:vAlign w:val="bottom"/>
            <w:vMerge w:val="restart"/>
          </w:tcPr>
          <w:p>
            <w:pPr>
              <w:jc w:val="right"/>
              <w:ind w:right="54"/>
              <w:spacing w:after="0"/>
              <w:rPr>
                <w:sz w:val="20"/>
                <w:szCs w:val="20"/>
                <w:color w:val="auto"/>
              </w:rPr>
            </w:pPr>
            <w:r>
              <w:rPr>
                <w:rFonts w:ascii="Arial" w:cs="Arial" w:eastAsia="Arial" w:hAnsi="Arial"/>
                <w:sz w:val="11"/>
                <w:szCs w:val="11"/>
                <w:color w:val="008000"/>
              </w:rPr>
              <w:t>(1)</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gridSpan w:val="2"/>
            <w:vMerge w:val="restart"/>
          </w:tcPr>
          <w:p>
            <w:pPr>
              <w:ind w:left="360"/>
              <w:spacing w:after="0"/>
              <w:rPr>
                <w:sz w:val="20"/>
                <w:szCs w:val="20"/>
                <w:color w:val="auto"/>
              </w:rPr>
            </w:pPr>
            <w:r>
              <w:rPr>
                <w:rFonts w:ascii="Arial" w:cs="Arial" w:eastAsia="Arial" w:hAnsi="Arial"/>
                <w:sz w:val="18"/>
                <w:szCs w:val="18"/>
                <w:color w:val="0000FF"/>
              </w:rPr>
              <w:t>74,092</w:t>
            </w:r>
          </w:p>
        </w:tc>
        <w:tc>
          <w:tcPr>
            <w:tcW w:w="280" w:type="dxa"/>
            <w:vAlign w:val="bottom"/>
          </w:tcPr>
          <w:p>
            <w:pPr>
              <w:spacing w:after="0"/>
              <w:rPr>
                <w:sz w:val="22"/>
                <w:szCs w:val="22"/>
                <w:color w:val="auto"/>
              </w:rPr>
            </w:pPr>
          </w:p>
        </w:tc>
        <w:tc>
          <w:tcPr>
            <w:tcW w:w="700" w:type="dxa"/>
            <w:vAlign w:val="bottom"/>
            <w:vMerge w:val="restart"/>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20" w:type="dxa"/>
            <w:vAlign w:val="bottom"/>
            <w:vMerge w:val="restart"/>
          </w:tcPr>
          <w:p>
            <w:pPr>
              <w:ind w:left="60"/>
              <w:spacing w:after="0"/>
              <w:rPr>
                <w:sz w:val="20"/>
                <w:szCs w:val="20"/>
                <w:color w:val="auto"/>
              </w:rPr>
            </w:pPr>
            <w:r>
              <w:rPr>
                <w:rFonts w:ascii="Arial" w:cs="Arial" w:eastAsia="Arial" w:hAnsi="Arial"/>
                <w:sz w:val="18"/>
                <w:szCs w:val="18"/>
                <w:color w:val="0000FF"/>
              </w:rPr>
              <w:t>share</w:t>
            </w: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180" w:type="dxa"/>
            <w:vAlign w:val="bottom"/>
            <w:tcBorders>
              <w:bottom w:val="single" w:sz="8" w:color="2C2C2C"/>
            </w:tcBorders>
            <w:gridSpan w:val="4"/>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180" w:type="dxa"/>
            <w:vAlign w:val="bottom"/>
            <w:gridSpan w:val="4"/>
          </w:tcPr>
          <w:p>
            <w:pPr>
              <w:ind w:left="60"/>
              <w:spacing w:after="0"/>
              <w:rPr>
                <w:sz w:val="20"/>
                <w:szCs w:val="20"/>
                <w:color w:val="auto"/>
              </w:rPr>
            </w:pPr>
            <w:r>
              <w:rPr>
                <w:rFonts w:ascii="Arial" w:cs="Arial" w:eastAsia="Arial" w:hAnsi="Arial"/>
                <w:sz w:val="18"/>
                <w:szCs w:val="18"/>
                <w:color w:val="0000FF"/>
              </w:rPr>
              <w:t>Common Stock, par value $0.0001 per</w:t>
            </w:r>
          </w:p>
        </w:tc>
        <w:tc>
          <w:tcPr>
            <w:tcW w:w="1240" w:type="dxa"/>
            <w:vAlign w:val="bottom"/>
            <w:gridSpan w:val="2"/>
            <w:vMerge w:val="restart"/>
          </w:tcPr>
          <w:p>
            <w:pPr>
              <w:ind w:left="240"/>
              <w:spacing w:after="0"/>
              <w:rPr>
                <w:sz w:val="20"/>
                <w:szCs w:val="20"/>
                <w:color w:val="auto"/>
              </w:rPr>
            </w:pPr>
            <w:r>
              <w:rPr>
                <w:rFonts w:ascii="Arial" w:cs="Arial" w:eastAsia="Arial" w:hAnsi="Arial"/>
                <w:sz w:val="18"/>
                <w:szCs w:val="18"/>
                <w:color w:val="0000FF"/>
              </w:rPr>
              <w:t>02/04/2011</w:t>
            </w: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vMerge w:val="restart"/>
          </w:tcPr>
          <w:p>
            <w:pPr>
              <w:jc w:val="center"/>
              <w:ind w:right="257"/>
              <w:spacing w:after="0"/>
              <w:rPr>
                <w:sz w:val="20"/>
                <w:szCs w:val="20"/>
                <w:color w:val="auto"/>
              </w:rPr>
            </w:pPr>
            <w:r>
              <w:rPr>
                <w:rFonts w:ascii="Arial" w:cs="Arial" w:eastAsia="Arial" w:hAnsi="Arial"/>
                <w:sz w:val="14"/>
                <w:szCs w:val="14"/>
                <w:color w:val="0000FF"/>
                <w:w w:val="92"/>
              </w:rPr>
              <w:t>F</w:t>
            </w:r>
          </w:p>
        </w:tc>
        <w:tc>
          <w:tcPr>
            <w:tcW w:w="720" w:type="dxa"/>
            <w:vAlign w:val="bottom"/>
            <w:vMerge w:val="restart"/>
          </w:tcPr>
          <w:p>
            <w:pPr>
              <w:ind w:left="320"/>
              <w:spacing w:after="0"/>
              <w:rPr>
                <w:sz w:val="20"/>
                <w:szCs w:val="20"/>
                <w:color w:val="auto"/>
              </w:rPr>
            </w:pPr>
            <w:r>
              <w:rPr>
                <w:rFonts w:ascii="Arial" w:cs="Arial" w:eastAsia="Arial" w:hAnsi="Arial"/>
                <w:sz w:val="18"/>
                <w:szCs w:val="18"/>
                <w:color w:val="0000FF"/>
              </w:rPr>
              <w:t>387</w:t>
            </w:r>
          </w:p>
        </w:tc>
        <w:tc>
          <w:tcPr>
            <w:tcW w:w="700" w:type="dxa"/>
            <w:vAlign w:val="bottom"/>
            <w:vMerge w:val="restart"/>
          </w:tcPr>
          <w:p>
            <w:pPr>
              <w:jc w:val="right"/>
              <w:ind w:right="154"/>
              <w:spacing w:after="0"/>
              <w:rPr>
                <w:sz w:val="20"/>
                <w:szCs w:val="20"/>
                <w:color w:val="auto"/>
              </w:rPr>
            </w:pPr>
            <w:r>
              <w:rPr>
                <w:rFonts w:ascii="Arial" w:cs="Arial" w:eastAsia="Arial" w:hAnsi="Arial"/>
                <w:sz w:val="18"/>
                <w:szCs w:val="18"/>
                <w:color w:val="0000FF"/>
              </w:rPr>
              <w:t>D</w:t>
            </w:r>
          </w:p>
        </w:tc>
        <w:tc>
          <w:tcPr>
            <w:tcW w:w="740" w:type="dxa"/>
            <w:vAlign w:val="bottom"/>
            <w:gridSpan w:val="3"/>
            <w:vMerge w:val="restart"/>
          </w:tcPr>
          <w:p>
            <w:pPr>
              <w:jc w:val="center"/>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19.76</w:t>
            </w:r>
            <w:r>
              <w:rPr>
                <w:rFonts w:ascii="Arial" w:cs="Arial" w:eastAsia="Arial" w:hAnsi="Arial"/>
                <w:sz w:val="22"/>
                <w:szCs w:val="22"/>
                <w:color w:val="008000"/>
                <w:w w:val="87"/>
                <w:vertAlign w:val="superscript"/>
              </w:rPr>
              <w:t>(2)</w:t>
            </w:r>
          </w:p>
        </w:tc>
        <w:tc>
          <w:tcPr>
            <w:tcW w:w="1220" w:type="dxa"/>
            <w:vAlign w:val="bottom"/>
            <w:gridSpan w:val="2"/>
            <w:vMerge w:val="restart"/>
          </w:tcPr>
          <w:p>
            <w:pPr>
              <w:ind w:left="360"/>
              <w:spacing w:after="0"/>
              <w:rPr>
                <w:sz w:val="20"/>
                <w:szCs w:val="20"/>
                <w:color w:val="auto"/>
              </w:rPr>
            </w:pPr>
            <w:r>
              <w:rPr>
                <w:rFonts w:ascii="Arial" w:cs="Arial" w:eastAsia="Arial" w:hAnsi="Arial"/>
                <w:sz w:val="18"/>
                <w:szCs w:val="18"/>
                <w:color w:val="0000FF"/>
              </w:rPr>
              <w:t>73,705</w:t>
            </w:r>
          </w:p>
        </w:tc>
        <w:tc>
          <w:tcPr>
            <w:tcW w:w="280" w:type="dxa"/>
            <w:vAlign w:val="bottom"/>
          </w:tcPr>
          <w:p>
            <w:pPr>
              <w:spacing w:after="0"/>
              <w:rPr>
                <w:sz w:val="22"/>
                <w:szCs w:val="22"/>
                <w:color w:val="auto"/>
              </w:rPr>
            </w:pPr>
          </w:p>
        </w:tc>
        <w:tc>
          <w:tcPr>
            <w:tcW w:w="700" w:type="dxa"/>
            <w:vAlign w:val="bottom"/>
            <w:vMerge w:val="restart"/>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vMerge w:val="restart"/>
          </w:tcPr>
          <w:p>
            <w:pPr>
              <w:ind w:left="60"/>
              <w:spacing w:after="0"/>
              <w:rPr>
                <w:sz w:val="20"/>
                <w:szCs w:val="20"/>
                <w:color w:val="auto"/>
              </w:rPr>
            </w:pPr>
            <w:r>
              <w:rPr>
                <w:rFonts w:ascii="Arial" w:cs="Arial" w:eastAsia="Arial" w:hAnsi="Arial"/>
                <w:sz w:val="18"/>
                <w:szCs w:val="18"/>
                <w:color w:val="0000FF"/>
              </w:rPr>
              <w:t>share</w:t>
            </w: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2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3980" w:type="dxa"/>
            <w:vAlign w:val="bottom"/>
            <w:tcBorders>
              <w:bottom w:val="single" w:sz="8" w:color="2C2C2C"/>
            </w:tcBorders>
            <w:gridSpan w:val="7"/>
          </w:tcPr>
          <w:p>
            <w:pPr>
              <w:spacing w:after="0"/>
              <w:rPr>
                <w:sz w:val="8"/>
                <w:szCs w:val="8"/>
                <w:color w:val="auto"/>
              </w:rPr>
            </w:pPr>
          </w:p>
        </w:tc>
        <w:tc>
          <w:tcPr>
            <w:tcW w:w="2720" w:type="dxa"/>
            <w:vAlign w:val="bottom"/>
            <w:tcBorders>
              <w:bottom w:val="single" w:sz="8" w:color="2C2C2C"/>
            </w:tcBorders>
            <w:gridSpan w:val="4"/>
          </w:tcPr>
          <w:p>
            <w:pPr>
              <w:spacing w:after="0"/>
              <w:rPr>
                <w:sz w:val="8"/>
                <w:szCs w:val="8"/>
                <w:color w:val="auto"/>
              </w:rPr>
            </w:pPr>
          </w:p>
        </w:tc>
        <w:tc>
          <w:tcPr>
            <w:tcW w:w="720" w:type="dxa"/>
            <w:vAlign w:val="bottom"/>
            <w:tcBorders>
              <w:bottom w:val="single" w:sz="8" w:color="2C2C2C"/>
            </w:tcBorders>
            <w:gridSpan w:val="3"/>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20" w:type="dxa"/>
            <w:vAlign w:val="bottom"/>
            <w:tcBorders>
              <w:top w:val="single" w:sz="8" w:color="2C2C2C"/>
            </w:tcBorders>
            <w:gridSpan w:val="14"/>
          </w:tcPr>
          <w:p>
            <w:pPr>
              <w:jc w:val="center"/>
              <w:ind w:left="91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120" w:type="dxa"/>
            <w:vAlign w:val="bottom"/>
            <w:gridSpan w:val="10"/>
          </w:tcPr>
          <w:p>
            <w:pPr>
              <w:ind w:left="1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(3)</w:t>
            </w:r>
          </w:p>
        </w:tc>
        <w:tc>
          <w:tcPr>
            <w:tcW w:w="720" w:type="dxa"/>
            <w:vAlign w:val="bottom"/>
            <w:vMerge w:val="restart"/>
          </w:tcPr>
          <w:p>
            <w:pPr>
              <w:ind w:left="260"/>
              <w:spacing w:after="0"/>
              <w:rPr>
                <w:sz w:val="20"/>
                <w:szCs w:val="20"/>
                <w:color w:val="auto"/>
              </w:rPr>
            </w:pPr>
            <w:r>
              <w:rPr>
                <w:rFonts w:ascii="Arial" w:cs="Arial" w:eastAsia="Arial" w:hAnsi="Arial"/>
                <w:sz w:val="11"/>
                <w:szCs w:val="11"/>
                <w:color w:val="008000"/>
              </w:rPr>
              <w:t>(3)</w:t>
            </w:r>
          </w:p>
        </w:tc>
        <w:tc>
          <w:tcPr>
            <w:tcW w:w="700" w:type="dxa"/>
            <w:vAlign w:val="bottom"/>
          </w:tcPr>
          <w:p>
            <w:pPr>
              <w:jc w:val="right"/>
              <w:ind w:right="154"/>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1,250</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820" w:type="dxa"/>
            <w:vAlign w:val="bottom"/>
            <w:vMerge w:val="restart"/>
          </w:tcPr>
          <w:p>
            <w:pPr>
              <w:ind w:left="3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140" w:type="dxa"/>
            <w:vAlign w:val="bottom"/>
            <w:vMerge w:val="restart"/>
          </w:tcPr>
          <w:p>
            <w:pPr>
              <w:jc w:val="right"/>
              <w:ind w:right="192"/>
              <w:spacing w:after="0" w:line="149" w:lineRule="exact"/>
              <w:rPr>
                <w:sz w:val="20"/>
                <w:szCs w:val="20"/>
                <w:color w:val="auto"/>
              </w:rPr>
            </w:pPr>
            <w:r>
              <w:rPr>
                <w:rFonts w:ascii="Arial" w:cs="Arial" w:eastAsia="Arial" w:hAnsi="Arial"/>
                <w:sz w:val="14"/>
                <w:szCs w:val="14"/>
                <w:color w:val="0000FF"/>
              </w:rPr>
              <w:t>02/04/2011</w:t>
            </w:r>
          </w:p>
        </w:tc>
        <w:tc>
          <w:tcPr>
            <w:tcW w:w="5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M</w:t>
            </w:r>
          </w:p>
        </w:tc>
        <w:tc>
          <w:tcPr>
            <w:tcW w:w="220" w:type="dxa"/>
            <w:vAlign w:val="bottom"/>
          </w:tcPr>
          <w:p>
            <w:pPr>
              <w:spacing w:after="0"/>
              <w:rPr>
                <w:sz w:val="5"/>
                <w:szCs w:val="5"/>
                <w:color w:val="auto"/>
              </w:rPr>
            </w:pPr>
          </w:p>
        </w:tc>
        <w:tc>
          <w:tcPr>
            <w:tcW w:w="820" w:type="dxa"/>
            <w:vAlign w:val="bottom"/>
            <w:vMerge w:val="restart"/>
          </w:tcPr>
          <w:p>
            <w:pPr>
              <w:ind w:left="400"/>
              <w:spacing w:after="0" w:line="149" w:lineRule="exact"/>
              <w:rPr>
                <w:sz w:val="20"/>
                <w:szCs w:val="20"/>
                <w:color w:val="auto"/>
              </w:rPr>
            </w:pPr>
            <w:r>
              <w:rPr>
                <w:rFonts w:ascii="Arial" w:cs="Arial" w:eastAsia="Arial" w:hAnsi="Arial"/>
                <w:sz w:val="14"/>
                <w:szCs w:val="14"/>
                <w:color w:val="0000FF"/>
              </w:rPr>
              <w:t>1,250</w:t>
            </w:r>
          </w:p>
        </w:tc>
        <w:tc>
          <w:tcPr>
            <w:tcW w:w="82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00" w:type="dxa"/>
            <w:vAlign w:val="bottom"/>
            <w:vMerge w:val="restart"/>
          </w:tcPr>
          <w:p>
            <w:pPr>
              <w:ind w:left="320"/>
              <w:spacing w:after="0" w:line="149" w:lineRule="exact"/>
              <w:rPr>
                <w:sz w:val="20"/>
                <w:szCs w:val="20"/>
                <w:color w:val="auto"/>
              </w:rPr>
            </w:pPr>
            <w:r>
              <w:rPr>
                <w:rFonts w:ascii="Arial" w:cs="Arial" w:eastAsia="Arial" w:hAnsi="Arial"/>
                <w:sz w:val="14"/>
                <w:szCs w:val="14"/>
                <w:color w:val="0000FF"/>
                <w:w w:val="83"/>
              </w:rPr>
              <w:t>11,250</w:t>
            </w:r>
          </w:p>
        </w:tc>
        <w:tc>
          <w:tcPr>
            <w:tcW w:w="280" w:type="dxa"/>
            <w:vAlign w:val="bottom"/>
          </w:tcPr>
          <w:p>
            <w:pPr>
              <w:spacing w:after="0"/>
              <w:rPr>
                <w:sz w:val="5"/>
                <w:szCs w:val="5"/>
                <w:color w:val="auto"/>
              </w:rPr>
            </w:pPr>
          </w:p>
        </w:tc>
        <w:tc>
          <w:tcPr>
            <w:tcW w:w="70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5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vMerge w:val="restart"/>
          </w:tcPr>
          <w:p>
            <w:pPr>
              <w:jc w:val="right"/>
              <w:ind w:right="134"/>
              <w:spacing w:after="0"/>
              <w:rPr>
                <w:sz w:val="20"/>
                <w:szCs w:val="20"/>
                <w:color w:val="auto"/>
              </w:rPr>
            </w:pPr>
            <w:r>
              <w:rPr>
                <w:rFonts w:ascii="Arial" w:cs="Arial" w:eastAsia="Arial" w:hAnsi="Arial"/>
                <w:sz w:val="14"/>
                <w:szCs w:val="14"/>
                <w:color w:val="0000FF"/>
              </w:rPr>
              <w:t>$0.001</w:t>
            </w: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7080"/>
        <w:spacing w:after="0"/>
        <w:rPr>
          <w:sz w:val="20"/>
          <w:szCs w:val="20"/>
          <w:color w:val="auto"/>
        </w:rPr>
      </w:pPr>
      <w:r>
        <w:rPr>
          <w:rFonts w:ascii="Arial" w:cs="Arial" w:eastAsia="Arial" w:hAnsi="Arial"/>
          <w:sz w:val="14"/>
          <w:szCs w:val="14"/>
          <w:color w:val="0000FF"/>
        </w:rPr>
        <w:t>per share</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As of February 4, 2011, ExlService Holdings, Inc. (the "Company") issued 1,250 shares of common stock, par value $0.001 per share ("Common Stock"), to the reporting person upon the vesting of an equal number of shares of restricted stock previously granted to the reporting person.</w:t>
      </w:r>
    </w:p>
    <w:p>
      <w:pPr>
        <w:spacing w:after="0" w:line="30" w:lineRule="exact"/>
        <w:rPr>
          <w:rFonts w:ascii="Arial" w:cs="Arial" w:eastAsia="Arial" w:hAnsi="Arial"/>
          <w:sz w:val="14"/>
          <w:szCs w:val="14"/>
          <w:color w:val="008000"/>
        </w:rPr>
      </w:pPr>
    </w:p>
    <w:p>
      <w:pPr>
        <w:ind w:left="40" w:right="46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restricted stock reported in this report vested on February 4, 2011. Pursuant to the Company's 2006 Omnibus Award Plan, pursuant to which such restricted stock was granted, the average of the high and low sale prices of the Common Stock on the Nasdaq Global Select Market on the preceding day is used for tax reporting and withholding purposes.</w:t>
      </w:r>
    </w:p>
    <w:p>
      <w:pPr>
        <w:ind w:left="40" w:right="2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1,250 shares of restricted stock vested on February 4, 2011; an additional 2,500 shares of restricted stock will vest on February 4, 2012; another 3,750 shares of restricted stock will vest on February 4, 2013; and the remaining 5,000 shares of restricted stock will vest on February 4, 2014.</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02/08/2011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35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4134"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2019-12-16T15:16:49Z</dcterms:created>
  <dcterms:modified xsi:type="dcterms:W3CDTF">2019-12-16T15:16:49Z</dcterms:modified>
</cp:coreProperties>
</file>