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20, 2009.</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333-162335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S-3</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6460" w:type="dxa"/>
            <w:vAlign w:val="bottom"/>
          </w:tcPr>
          <w:p>
            <w:pPr>
              <w:jc w:val="center"/>
              <w:ind w:right="2877"/>
              <w:spacing w:after="0"/>
              <w:rPr>
                <w:sz w:val="20"/>
                <w:szCs w:val="20"/>
                <w:color w:val="auto"/>
              </w:rPr>
            </w:pPr>
            <w:r>
              <w:rPr>
                <w:rFonts w:ascii="Arial" w:cs="Arial" w:eastAsia="Arial" w:hAnsi="Arial"/>
                <w:sz w:val="18"/>
                <w:szCs w:val="18"/>
                <w:b w:val="1"/>
                <w:bCs w:val="1"/>
                <w:color w:val="auto"/>
                <w:w w:val="88"/>
              </w:rPr>
              <w:t>Delaware</w:t>
            </w:r>
          </w:p>
        </w:tc>
        <w:tc>
          <w:tcPr>
            <w:tcW w:w="2140" w:type="dxa"/>
            <w:vAlign w:val="bottom"/>
          </w:tcPr>
          <w:p>
            <w:pPr>
              <w:jc w:val="right"/>
              <w:ind w:right="542"/>
              <w:spacing w:after="0"/>
              <w:rPr>
                <w:sz w:val="20"/>
                <w:szCs w:val="20"/>
                <w:color w:val="auto"/>
              </w:rPr>
            </w:pPr>
            <w:r>
              <w:rPr>
                <w:rFonts w:ascii="Arial" w:cs="Arial" w:eastAsia="Arial" w:hAnsi="Arial"/>
                <w:sz w:val="18"/>
                <w:szCs w:val="18"/>
                <w:b w:val="1"/>
                <w:bCs w:val="1"/>
                <w:color w:val="auto"/>
              </w:rPr>
              <w:t>82-0572194</w:t>
            </w:r>
          </w:p>
        </w:tc>
      </w:tr>
      <w:tr>
        <w:trPr>
          <w:trHeight w:val="174"/>
        </w:trPr>
        <w:tc>
          <w:tcPr>
            <w:tcW w:w="6460" w:type="dxa"/>
            <w:vAlign w:val="bottom"/>
          </w:tcPr>
          <w:p>
            <w:pPr>
              <w:jc w:val="center"/>
              <w:ind w:right="2897"/>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140" w:type="dxa"/>
            <w:vAlign w:val="bottom"/>
          </w:tcPr>
          <w:p>
            <w:pPr>
              <w:jc w:val="center"/>
              <w:ind w:left="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1"/>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88"/>
              </w:rPr>
              <w:t>350 Park Avenue</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10022</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37"/>
              <w:spacing w:after="0" w:line="149" w:lineRule="exact"/>
              <w:rPr>
                <w:sz w:val="20"/>
                <w:szCs w:val="20"/>
                <w:color w:val="auto"/>
              </w:rPr>
            </w:pPr>
            <w:r>
              <w:rPr>
                <w:rFonts w:ascii="Arial" w:cs="Arial" w:eastAsia="Arial" w:hAnsi="Arial"/>
                <w:sz w:val="14"/>
                <w:szCs w:val="14"/>
                <w:color w:val="auto"/>
                <w:w w:val="87"/>
              </w:rPr>
              <w:t>(Address,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8"/>
              </w:rPr>
              <w:t>including area code, of registrant’s principal executive offices)</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Amit Shashank, Esq.</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Vice President, General Counsel and Secretary</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ExlService Holdings, Inc.</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88"/>
              </w:rPr>
              <w:t>350 Park Avenue</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10022</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57"/>
              <w:spacing w:after="0" w:line="149" w:lineRule="exact"/>
              <w:rPr>
                <w:sz w:val="20"/>
                <w:szCs w:val="20"/>
                <w:color w:val="auto"/>
              </w:rPr>
            </w:pPr>
            <w:r>
              <w:rPr>
                <w:rFonts w:ascii="Arial" w:cs="Arial" w:eastAsia="Arial" w:hAnsi="Arial"/>
                <w:sz w:val="14"/>
                <w:szCs w:val="14"/>
                <w:color w:val="auto"/>
                <w:w w:val="86"/>
              </w:rPr>
              <w:t>(Name, 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7"/>
              </w:rPr>
              <w:t>including area code, of agent for service)</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color w:val="auto"/>
                <w:w w:val="92"/>
              </w:rPr>
              <w:t>Copy to:</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John C. Kennedy, Esq.</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2"/>
              </w:rPr>
              <w:t>Paul, Weiss, Rifkind, Wharton &amp; Garrison LLP</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1285 Avenue of the Americas</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0"/>
              </w:rPr>
              <w:t>New York, New York 10019-6064</w:t>
            </w:r>
          </w:p>
        </w:tc>
        <w:tc>
          <w:tcPr>
            <w:tcW w:w="2140" w:type="dxa"/>
            <w:vAlign w:val="bottom"/>
          </w:tcPr>
          <w:p>
            <w:pPr>
              <w:spacing w:after="0"/>
              <w:rPr>
                <w:sz w:val="18"/>
                <w:szCs w:val="18"/>
                <w:color w:val="auto"/>
              </w:rPr>
            </w:pPr>
          </w:p>
        </w:tc>
      </w:tr>
      <w:tr>
        <w:trPr>
          <w:trHeight w:val="228"/>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373-3000</w:t>
            </w:r>
          </w:p>
        </w:tc>
        <w:tc>
          <w:tcPr>
            <w:tcW w:w="2140" w:type="dxa"/>
            <w:vAlign w:val="bottom"/>
          </w:tcPr>
          <w:p>
            <w:pPr>
              <w:spacing w:after="0"/>
              <w:rPr>
                <w:sz w:val="19"/>
                <w:szCs w:val="19"/>
                <w:color w:val="auto"/>
              </w:rPr>
            </w:pPr>
          </w:p>
        </w:tc>
      </w:tr>
    </w:tbl>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6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280"/>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being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jc w:val="both"/>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100"/>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jc w:val="both"/>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80" w:val="left"/>
          <w:tab w:leader="none" w:pos="3580" w:val="left"/>
          <w:tab w:leader="none" w:pos="5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143510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5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November 20,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220980</wp:posOffset>
            </wp:positionV>
            <wp:extent cx="1140460" cy="90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offer and sell from time to time up to an aggregate of $200,000,000 of shares of our common stock, shares of our preferred stock, debt securities, depositary shares, warrants, rights, purchase contracts or units, or any combination thereof, in one or more offerings in amounts, at prices and on terms that we determine at the time of the offering. In addition, the selling stockholders to be named in a prospectus supplement may offer, from time to time and in one or more offerings, up to 6,000,000 shares of our common stock.</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time we or the selling stockholders offer securities,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“EXLS.”</w:t>
      </w:r>
    </w:p>
    <w:p>
      <w:pPr>
        <w:spacing w:after="0" w:line="165" w:lineRule="exact"/>
        <w:rPr>
          <w:sz w:val="20"/>
          <w:szCs w:val="20"/>
          <w:color w:val="auto"/>
        </w:rPr>
      </w:pPr>
    </w:p>
    <w:p>
      <w:pPr>
        <w:ind w:right="200" w:firstLine="456"/>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significant risks. We strongly recommend that you read carefully the risks we describe in this prospectus as well as in any accompanying prospectus supplement and the risk factors that are incorporated by reference in this prospectus from our filings made with the Securities and Exchange Commission. See “</w:t>
      </w:r>
      <w:hyperlink w:anchor="page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spacing w:after="0"/>
              <w:rPr>
                <w:sz w:val="20"/>
                <w:szCs w:val="20"/>
                <w:color w:val="auto"/>
              </w:rPr>
            </w:pPr>
            <w:r>
              <w:rPr>
                <w:rFonts w:ascii="Arial" w:cs="Arial" w:eastAsia="Arial" w:hAnsi="Arial"/>
                <w:sz w:val="18"/>
                <w:szCs w:val="18"/>
                <w:color w:val="auto"/>
              </w:rPr>
              <w:t>, 2009</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6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78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73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780" w:type="dxa"/>
            <w:vAlign w:val="bottom"/>
            <w:gridSpan w:val="17"/>
            <w:vMerge w:val="continue"/>
          </w:tcPr>
          <w:p>
            <w:pPr>
              <w:spacing w:after="0"/>
              <w:rPr>
                <w:sz w:val="14"/>
                <w:szCs w:val="14"/>
                <w:color w:val="auto"/>
              </w:rPr>
            </w:pPr>
          </w:p>
        </w:tc>
        <w:tc>
          <w:tcPr>
            <w:tcW w:w="73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Company</w:t>
              </w:r>
            </w:hyperlink>
          </w:p>
        </w:tc>
        <w:tc>
          <w:tcPr>
            <w:tcW w:w="2180" w:type="dxa"/>
            <w:vAlign w:val="bottom"/>
            <w:gridSpan w:val="11"/>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Forward-Looking Statements</w:t>
              </w:r>
            </w:hyperlink>
          </w:p>
        </w:tc>
        <w:tc>
          <w:tcPr>
            <w:tcW w:w="1700" w:type="dxa"/>
            <w:vAlign w:val="bottom"/>
            <w:gridSpan w:val="6"/>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Risk Factors</w:t>
              </w:r>
            </w:hyperlink>
          </w:p>
        </w:tc>
        <w:tc>
          <w:tcPr>
            <w:tcW w:w="2880" w:type="dxa"/>
            <w:vAlign w:val="bottom"/>
            <w:gridSpan w:val="15"/>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Ratio of Earnings to Fixed Charges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Selling Stockholders</w:t>
              </w:r>
            </w:hyperlink>
          </w:p>
        </w:tc>
        <w:tc>
          <w:tcPr>
            <w:tcW w:w="1300" w:type="dxa"/>
            <w:vAlign w:val="bottom"/>
            <w:gridSpan w:val="4"/>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Description of Capital Stock</w:t>
              </w:r>
            </w:hyperlink>
          </w:p>
        </w:tc>
        <w:tc>
          <w:tcPr>
            <w:tcW w:w="1760" w:type="dxa"/>
            <w:vAlign w:val="bottom"/>
            <w:gridSpan w:val="7"/>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Description of the Debt Securities</w:t>
              </w:r>
            </w:hyperlink>
          </w:p>
        </w:tc>
        <w:tc>
          <w:tcPr>
            <w:tcW w:w="1380" w:type="dxa"/>
            <w:vAlign w:val="bottom"/>
            <w:gridSpan w:val="5"/>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the Depositary Shares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the Warrants</w:t>
              </w:r>
            </w:hyperlink>
          </w:p>
        </w:tc>
        <w:tc>
          <w:tcPr>
            <w:tcW w:w="1180" w:type="dxa"/>
            <w:vAlign w:val="bottom"/>
            <w:gridSpan w:val="3"/>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1840" w:type="dxa"/>
            <w:vAlign w:val="bottom"/>
            <w:gridSpan w:val="8"/>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Description of the Purchase Contracts</w:t>
              </w:r>
            </w:hyperlink>
          </w:p>
        </w:tc>
        <w:tc>
          <w:tcPr>
            <w:tcW w:w="1100" w:type="dxa"/>
            <w:vAlign w:val="bottom"/>
            <w:gridSpan w:val="2"/>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the Units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Plan of Distribution</w:t>
              </w:r>
            </w:hyperlink>
          </w:p>
        </w:tc>
        <w:tc>
          <w:tcPr>
            <w:tcW w:w="2080" w:type="dxa"/>
            <w:vAlign w:val="bottom"/>
            <w:gridSpan w:val="10"/>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2320" w:type="dxa"/>
            <w:vAlign w:val="bottom"/>
            <w:gridSpan w:val="12"/>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2780" w:type="dxa"/>
            <w:vAlign w:val="bottom"/>
            <w:gridSpan w:val="14"/>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7"/>
          </w:tcPr>
          <w:p>
            <w:pPr>
              <w:spacing w:after="0"/>
              <w:rPr>
                <w:sz w:val="17"/>
                <w:szCs w:val="17"/>
                <w:color w:val="auto"/>
              </w:rPr>
            </w:pPr>
          </w:p>
        </w:tc>
        <w:tc>
          <w:tcPr>
            <w:tcW w:w="980" w:type="dxa"/>
            <w:vAlign w:val="bottom"/>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and sell from time to time shares of our common stock, shares of our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warrants, rights, purchase contracts or units, or any combination thereof, in one or more offerings in amounts, at prices and on terms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at the time of the offering, with an aggregate initial offering price of up to $200,000,000 and the selling stockholders may offer, from time to time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or more offerings, up to an aggregate of 6,000,000 shares of our common stock. This prospectus provides you with a general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Each time we offer the securities or the selling stockholders sell shares of common stock, we will provide a prospectus supplement that describes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the offering. The prospectus supplement also may add, update or change information contained in this prospectus. Before making an investment decision,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carefully both this prospectus and any prospectus supplement together with the documents incorporated by reference into this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under the heading “Incorporation by Reference.”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The registration statement can be read at the SEC web site (www.sec.gov) or at the SEC public reference room as discussed below under the heading “Where You Can Find More Information.”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Neither we nor the selling stockholders have authorized anyone to provide you with different information. You should not assume that the information in this prospectus or any supplement to this prospectus is accurate at any date other than the date indicated on the cover page of these documents. Neither we nor the selling stockholders are making an offer to sell the securities in any jurisdiction where the offer or sale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the selling stockholders may sell the securities to or through underwriters, dealers or agents or directly to purchasers. The securities may be sold for U.S. dollars, foreign-denominated currency or currency units. Amounts payable with respect to any securities may be payable in U.S. dollars or foreign-denominated currency or currency units as specified in the applicable prospectus supplement. We, the selling stockholders and our and their agents reserve the sole right to accept or reject in whole or in part any proposed purchase of the securities. The prospectus supplement, which we will provide each time we or the selling stockholders offer the securities, will set forth the names of any underwriters, dealers or agents involved in the sale of the securities, and any related fee, commission or discount arrangements. See “Plan of Distribution.”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may also contain information about any material U.S. federal income tax considerations relating to the securities covered by the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the terms “ExlService,” “we,” “us,” “our” and the “Company” refer to ExlService Holdings, Inc.</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ExlService Holdings, Inc. is a leading provider of outsourcing and transformation services. Our outsourcing services include a full spectrum of business process outsourcing services from offshore delivery centers requiring ongoing process management skills. Transformation services enable continuous improvement of client processes by bringing together our capabilities in reengineering including decision analytics, risk and financial management and operations and process excellence services. Headquartered in New York, we primarily serves the needs of Global 1000 companies in the insurance, utilities, financial services and transportation and logistics sectors.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ExlService, we refer you to our filings with the SEC incorporated by reference in this prospectus. For instructions on how to find copies of these documents, see “Where You Can Find More Information.” More information about us is also available through our website at www.exlservice.com. The information on our website is not incorporated by reference into this prospectus or any accompanying prospectus supplement.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350 Park Avenue, New York, New York 10022, telephone (212) 277-7100.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include forward-looking statements as defined in the Private Securities Litigation Reform Act of 1995. In addition, we may make other written and oral communications from time to time that contain such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the information contained and incorporated by reference herein, you should understand that these statements are not guarantees of performance or results. They involve known and unknown risks, uncertainties and assumptions. Although we believe that these forward looking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herein and in the documents incorporated by reference herein. These and other risks could cause actual results to differ materially from those implied by forward looking statements herein and therein.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herein and in the documents incorporated by reference herein, or elsewhere, speaks only as of the date on which we make it. New risks and uncertainties come up from time to time, and it is impossible for us to predict these events or how they may affect us. We have no obligation to update any forward looking statements herein or therein after the date hereof or thereof, except as required by federal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 the applicable prospectus supplement, together with all the other information contained in the prospectus supplement or incorporated by reference in this prospectus and the applicable prospectus supplement. You should also consider the risks, uncertainties and assumptions discussed under the caption “Risk Factors” included in our Annual Report on Form 10-K for the year ended December 31, 2008, which is incorporated by reference in this prospectus. These risk factors may be amended, supplemented or superseded from time to time by other reports we file with the SEC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Unless we specify another use in the applicable prospectus supplement, we will use the net proceeds from the sale of the securities offered by us for general corporate purposes, which may include, among other things, debt repayment, working capital and/or capital expenditures.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resale of shares of our common stock by the selling stockholders.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ratios of earnings to fixed charges are shown in the table below. For purposes of calculating the below ratios, earnings consist of income before taxes plus fixed charges plus amortization of capitalized interest less interest capitalized during the period. Fixed charges means the sum of the following: (a) interest expensed and capitalized, (b) amortized premiums, discounts and capitalized expenses related to indebtedness, (c) an estimate of the interest within rental expense, and (d) preference security dividend requirements of consolidated subsidiaries. Preferred dividends include pre-tax amounts required to pay dividends in respect of our previously-outstanding Series A Preferred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5320" w:type="dxa"/>
            <w:vAlign w:val="bottom"/>
          </w:tcPr>
          <w:p>
            <w:pPr>
              <w:spacing w:after="0"/>
              <w:rPr>
                <w:sz w:val="14"/>
                <w:szCs w:val="14"/>
                <w:color w:val="auto"/>
              </w:rPr>
            </w:pPr>
          </w:p>
        </w:tc>
        <w:tc>
          <w:tcPr>
            <w:tcW w:w="188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2005(1)</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6.7</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Ratio of earnings to fixed charges and preferred dividends</w:t>
            </w:r>
          </w:p>
        </w:tc>
        <w:tc>
          <w:tcPr>
            <w:tcW w:w="540" w:type="dxa"/>
            <w:vAlign w:val="bottom"/>
          </w:tcPr>
          <w:p>
            <w:pPr>
              <w:ind w:left="320"/>
              <w:spacing w:after="0"/>
              <w:rPr>
                <w:sz w:val="20"/>
                <w:szCs w:val="20"/>
                <w:color w:val="auto"/>
              </w:rPr>
            </w:pPr>
            <w:r>
              <w:rPr>
                <w:rFonts w:ascii="Arial" w:cs="Arial" w:eastAsia="Arial" w:hAnsi="Arial"/>
                <w:sz w:val="18"/>
                <w:szCs w:val="18"/>
                <w:color w:val="auto"/>
                <w:w w:val="79"/>
              </w:rPr>
              <w:t>6.7</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6.2</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were insufficient to cover fixed charges by $1.7 million and were insufficient to cover fixed charges and preferred dividends by $1.9 million in the year ended December 31, 2005.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This prospectus relates in part to the possible sale by certain of our stockholders, or the selling stockholders, who own shares of common stock acquired through an exemption from registration under Section 4(2) of the Securities Act of 1933, for transactions by an issuer not involving a public offering. These shares consist of shares of common stock that were acquired in transactions completed in connection with the acquisition of the Company’s business from Conseco in 2002, shares of common stock that were issued in connection with a share split of our common stock completed prior to the completion of our initial public offering in October 2006, shares of common stock acquired pursuant to our equity compensation plans to the extent such shares were received prior to October 5, 2009 and shares of common stock held by certain trusts affiliated with certain of our pre-IPO stockholders to the extent such trusts acquired such shares prior to October 5, 2009. Information about the selling stockholders will be set forth in the applicable prospectus supplement.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description of our capital stock summarizes certain terms and provisions of our common stock and preferred stock, par value $0.001 per share, to which any prospectus supplement may relate. This section also summarizes relevant provisions of Delaware law. The following description of our common stock and preferred stock does not purport to be complete and is subject to, and is qualified in its entirety by reference to, the applicable provisions of Delaware law and our Amended and Restated Certificate of Incorporation and our Second Amended and Restated Bylaws, copies of which have been filed with the SEC as exhibits to the registration statement of which this prospectus forms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the date of this prospectus, our authorized capital stock consists of 100,000,000 shares of common stock and 15,000,000 of preferred stock. As of September 30, 2009, we had 28,931,983 outstanding shares of common stock, excluding 247,030 shares held in treasury and 405,380 shares of restricted stock, and no shares of preferred stock outstanding.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November 18, 2009, there were approximately 32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liability under Section 174 of the Delaware General Corporation Law (relating to unlawful dividends, stock repurchases, or stock redemptions);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5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Our board is divided into three classes. The directors in each class serve for a three-year term, one class being elected each year by our stockholders. Our stockholders may only remove directors for cause and with the vote of at least 66 </w:t>
      </w:r>
      <w:r>
        <w:rPr>
          <w:rFonts w:ascii="Arial" w:cs="Arial" w:eastAsia="Arial" w:hAnsi="Arial"/>
          <w:sz w:val="11"/>
          <w:szCs w:val="11"/>
          <w:color w:val="auto"/>
        </w:rPr>
        <w:t>2</w:t>
      </w:r>
      <w:r>
        <w:rPr>
          <w:rFonts w:ascii="Arial" w:cs="Arial" w:eastAsia="Arial" w:hAnsi="Arial"/>
          <w:sz w:val="18"/>
          <w:szCs w:val="18"/>
          <w:color w:val="auto"/>
        </w:rPr>
        <w:t>/3% of the total voting power of our issued and outstanding capital stock entitled to vote in the election of directors. Our board of directors may elect a director to fill a vacancy, including vacancies created by the expansion of the board of directors.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Our certificate of incorporation provides that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 xml:space="preserve"> /3% of the voting power of our issued and outstanding capital stock entitled to vote in the election of directors, is required to amend the following provisions of our certificate of incorporation:</w:t>
      </w:r>
    </w:p>
    <w:p>
      <w:pPr>
        <w:spacing w:after="0" w:line="45"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11"/>
          <w:szCs w:val="11"/>
          <w:color w:val="auto"/>
        </w:rPr>
        <w:t>2</w:t>
      </w:r>
      <w:r>
        <w:rPr>
          <w:rFonts w:ascii="Arial" w:cs="Arial" w:eastAsia="Arial" w:hAnsi="Arial"/>
          <w:sz w:val="18"/>
          <w:szCs w:val="18"/>
          <w:color w:val="auto"/>
        </w:rPr>
        <w:t>/3% stockholder vote for the amendment of certain provisions of our articles of incorporation and for the adoption, amendment or repeal of our by-laws;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In addition, the board of directors is permitted to alter our by-laws without obtaining stockholder approval and the affirmative vote of holders of at least 66 </w:t>
      </w:r>
      <w:r>
        <w:rPr>
          <w:rFonts w:ascii="Arial" w:cs="Arial" w:eastAsia="Arial" w:hAnsi="Arial"/>
          <w:sz w:val="11"/>
          <w:szCs w:val="11"/>
          <w:color w:val="auto"/>
        </w:rPr>
        <w:t>2</w:t>
      </w:r>
      <w:r>
        <w:rPr>
          <w:rFonts w:ascii="Arial" w:cs="Arial" w:eastAsia="Arial" w:hAnsi="Arial"/>
          <w:sz w:val="18"/>
          <w:szCs w:val="18"/>
          <w:color w:val="auto"/>
        </w:rPr>
        <w:t>/3% of the voting power of our issued and outstanding capital stock entitled to vote in the election of directors will be required for any amendment to our by-laws by the stockholders.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96"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description of the terms of our senior debt securities and subordinated debt securities (together, the “</w:t>
      </w:r>
      <w:r>
        <w:rPr>
          <w:rFonts w:ascii="Arial" w:cs="Arial" w:eastAsia="Arial" w:hAnsi="Arial"/>
          <w:sz w:val="16"/>
          <w:szCs w:val="16"/>
          <w:i w:val="1"/>
          <w:iCs w:val="1"/>
          <w:color w:val="auto"/>
        </w:rPr>
        <w:t>debt securities</w:t>
      </w:r>
      <w:r>
        <w:rPr>
          <w:rFonts w:ascii="Arial" w:cs="Arial" w:eastAsia="Arial" w:hAnsi="Arial"/>
          <w:sz w:val="16"/>
          <w:szCs w:val="16"/>
          <w:color w:val="auto"/>
        </w:rPr>
        <w:t>”)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debt securities will be issued under an indenture between us and U.S. Bank National Association, as Senior Indenture Trustee (the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The subordinated debt securities will be issued under an indenture between us and U.S. Bank National Association, as Subordinated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(the “</w:t>
      </w:r>
      <w:r>
        <w:rPr>
          <w:rFonts w:ascii="Arial" w:cs="Arial" w:eastAsia="Arial" w:hAnsi="Arial"/>
          <w:sz w:val="16"/>
          <w:szCs w:val="16"/>
          <w:i w:val="1"/>
          <w:iCs w:val="1"/>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i w:val="1"/>
          <w:iCs w:val="1"/>
          <w:color w:val="auto"/>
        </w:rPr>
        <w:t>indentures</w:t>
      </w:r>
      <w:r>
        <w:rPr>
          <w:rFonts w:ascii="Arial" w:cs="Arial" w:eastAsia="Arial" w:hAnsi="Arial"/>
          <w:sz w:val="16"/>
          <w:szCs w:val="16"/>
          <w:color w:val="auto"/>
        </w:rPr>
        <w:t>”).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“—Ranking and Subordination—Subordination.” In general, however, if we declare bankruptcy, holders of the senior debt securities will be paid in full before the holders of subordinated debt securities will receive anything.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set forth below are brief summaries of certain provisions contained in the indentures, which summaries do not purport to be complete and are qualified in their entirety by reference to the indentures, which are incorporated by reference as exhibits or filed as exhibits to the registration statement of which this prospectus forms a part. Terms used herein that are otherwise not defined shall have the meanings given to them in the indentures. Such defined terms shall be incorporated herein by reference.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any series of debt securities in respect to which this prospectus is being delivered will contain the following terms, among others, for each such series of debt securities:</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and issue date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is payable;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if any, per annum at which the debt securities will bear interest, if any, the date or dates from which interest will accrue and the interest payment date or dates for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debt securities which may be authenticated and delivered under the applicable indenture;</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period or periods within which, the redemption price or prices or the repayment price or prices, as the case may be, at which, and the terms and conditions upon which, the debt securities may be redeemed at our option or the option of the holder of such debt securities;</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obligation, if any, of ExlService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debt securities will be issuable;</w:t>
      </w:r>
    </w:p>
    <w:p>
      <w:pPr>
        <w:spacing w:after="0" w:line="113"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debt securities, at the option of the holders of such debt securities or the Company, as the case may be, for or into new securities of a different series, our common stock or other securities;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59"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ind w:left="900" w:right="42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and, if so, the identity of the depositary with respect to such global securities;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subordinated debt securities only, the amendment or modification of the subordination provisions in the subordinated indenture with respect to the debt securities;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specific terms.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issue debt securities of any series at various times and we may reopen any series for further issuances from time to time without notice to existing holders of securities of that series.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competent tax and financial advisors on these important matters.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Subordination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debt securities will effectively rank junior in right of payment to any of our current or future secured obligations to the extent of the value of the assets securing such obligations. The debt securities will be effectively subordinated to all existing and future liabilities, including indebtedness and trade payables, of our subsidiaries. Unless otherwise set forth in the prospectus supplement relating to such series of debt securities, the indentures will not limit the amount of unsecured indebtedness or other liabilities that can be incurred by our subsidiaries.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 of Debt Securities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senior debt securities described in this prospectus will be unsecured, senior obligations of the Company and will rank equally with our other unsecured and unsubordinated obligations. The subordinated debt securities will be unsecured, subordinated obligations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Senior Indebtedness</w:t>
      </w:r>
      <w:r>
        <w:rPr>
          <w:rFonts w:ascii="Arial" w:cs="Arial" w:eastAsia="Arial" w:hAnsi="Arial"/>
          <w:sz w:val="16"/>
          <w:szCs w:val="16"/>
          <w:color w:val="auto"/>
        </w:rPr>
        <w:t>”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similar instruments sold by that person for money;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the Company constitute Senior Indebtedness for purposes of the subordinated indenture.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subordinated indenture, the subordinated indenture may not be amended, at any time, to alter the subordination provisions of any outstanding subordinated debt securities without the consent of the requisite holders of each outstanding series or class of Senior Indebtedness (as determined in accordance with the instrument governing such Senior Indebtedness) that would be adversely 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debt securities to be redeemed,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to the date of redemption that has not been paid (such redemption price, the “Redemption Price”).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with respect to the debt securities, the United States Treasury security selected by an Independent Investment Banker as having a maturity comparable to the remaining term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to be appointed by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four primary U.S. Government securities dealers to be selected by us.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debt security to be redeemed, the remaining scheduled payments of the principal thereof and interest thereon that would be due after the related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spacing w:after="0" w:line="12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or Transfer on Certain Terms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so long as any debt securities are outstanding, except as described in the applicable prospectus supplement relating to such debt securities, we will not consolidate with or merge into any other entity or convey or transfer its properties and assets substantially as an entirety to any entity, unless:</w:t>
      </w:r>
    </w:p>
    <w:p>
      <w:pPr>
        <w:spacing w:after="0" w:line="4" w:lineRule="exact"/>
        <w:rPr>
          <w:sz w:val="20"/>
          <w:szCs w:val="20"/>
          <w:color w:val="auto"/>
        </w:rPr>
      </w:pPr>
    </w:p>
    <w:p>
      <w:pPr>
        <w:ind w:left="900" w:right="40" w:hanging="325"/>
        <w:spacing w:after="0" w:line="25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the Company is merged or the entity that acquires by conveyance or transfer the properties and assets of the Company substantially as an entirety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as set forth above, the successor person formed by such consolidation or into which we are merged or to which such conveyance or transfer is made shall succeed to, and be substituted for, and may exercise every right and power of the Company under the applicable indenture with the same effect as if such successor had been named as the Company in the applicable indenture. In the event of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conveyance or transfer, the Company as the predecessor shall be discharged from all obligations and covenants under the applicable indenture and the debt securities issued under such indenture and may be dissolved, wound up or liquidated at any time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covenants of the Company pertaining to a series of debt securities will be set forth in a prospectus supplement relating to such series of debt securities.</w:t>
      </w:r>
    </w:p>
    <w:p>
      <w:pPr>
        <w:spacing w:after="0" w:line="20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of the terms defined in the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as such principles are in effect in the United States as of the date of the applicable indenture.</w:t>
      </w:r>
    </w:p>
    <w:p>
      <w:pPr>
        <w:spacing w:after="0" w:line="194"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any Subsidiary which would be a “significant subsidiary” as defined in Article 1, Rule 1-02 of Regulation S-X, promulgated pursuant to the Securities Act of 1933, as amended, as in effect on the date of the applicable indenture.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set forth in the prospectus supplement relating to the debt securities, each indenture will provide that we, at our option,</w:t>
      </w:r>
    </w:p>
    <w:p>
      <w:pPr>
        <w:spacing w:after="0" w:line="113" w:lineRule="exact"/>
        <w:rPr>
          <w:sz w:val="20"/>
          <w:szCs w:val="20"/>
          <w:color w:val="auto"/>
        </w:rPr>
      </w:pPr>
    </w:p>
    <w:p>
      <w:pPr>
        <w:ind w:left="900" w:right="2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need not comply with any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exercise any such option, we are required, among other things, to deliver to the Trustee an opinion of counsel to the effect that the deposit and related defeasance would not cause the holders of such series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recognize income, gain or loss for federal income tax purposes and, in the case of a discharge pursuant to clause (a) above, accompanied by a ruling to such effect received from or published by the U.S. Internal Revenue Service.</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w:t>
      </w:r>
      <w:r>
        <w:rPr>
          <w:rFonts w:ascii="Arial" w:cs="Arial" w:eastAsia="Arial" w:hAnsi="Arial"/>
          <w:sz w:val="11"/>
          <w:szCs w:val="11"/>
          <w:color w:val="auto"/>
        </w:rPr>
        <w:t>1</w:t>
      </w:r>
      <w:r>
        <w:rPr>
          <w:rFonts w:ascii="Arial" w:cs="Arial" w:eastAsia="Arial" w:hAnsi="Arial"/>
          <w:sz w:val="18"/>
          <w:szCs w:val="18"/>
          <w:color w:val="auto"/>
        </w:rPr>
        <w:t xml:space="preserve">/ </w:t>
      </w:r>
      <w:r>
        <w:rPr>
          <w:rFonts w:ascii="Arial" w:cs="Arial" w:eastAsia="Arial" w:hAnsi="Arial"/>
          <w:sz w:val="13"/>
          <w:szCs w:val="13"/>
          <w:color w:val="auto"/>
        </w:rPr>
        <w:t>3</w:t>
      </w:r>
      <w:r>
        <w:rPr>
          <w:rFonts w:ascii="Arial" w:cs="Arial" w:eastAsia="Arial" w:hAnsi="Arial"/>
          <w:sz w:val="18"/>
          <w:szCs w:val="18"/>
          <w:color w:val="auto"/>
        </w:rPr>
        <w:t xml:space="preserve">% in aggregate principal amount of the outstanding debt securities of such series (or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spacing w:after="0" w:line="1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set forth in the prospectus supplement relating to such series of debt securities, an “Event of Default” in respect of any series will be defined in the indentures as being any one of the following events:</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with respect to such series;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default for 90 days after written notice to us by the Trustee thereunder or by holders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debt securities of such series in the performance, or breach, of any covenant or warranty pertaining to debt securities of such series; and</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indenture will provide that the holders of a majority in aggregate principal amount of the outstanding debt securities of any series issued under such indenture may direct the time, method and place of conducting proceedings for remedies available to the Trustee or exercising any trust or power conferred on the Trustee in respect of such series, subject to certain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include a covenant that we will file annually with the Trustee a certificate of no default or specifying any default that exists.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spacing w:after="0" w:line="59" w:lineRule="exact"/>
        <w:rPr>
          <w:sz w:val="20"/>
          <w:szCs w:val="20"/>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such successor of the Company’s obligations under the applicable indenture and the debt securities of any series;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rights or powers of the Company for the benefit of the holders of debt securities of any or all series issued under such indenture;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applicable indenture which may be inconsistent with any other provision therein, or to make any other provisions with respect to matters or questions arising under such indenture;</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to the applicable indenture any provisions that may be expressly permitted by the Trust Indenture Act of 1939, as amended (the “</w:t>
      </w:r>
      <w:r>
        <w:rPr>
          <w:rFonts w:ascii="Arial" w:cs="Arial" w:eastAsia="Arial" w:hAnsi="Arial"/>
          <w:sz w:val="18"/>
          <w:szCs w:val="18"/>
          <w:i w:val="1"/>
          <w:iCs w:val="1"/>
          <w:color w:val="auto"/>
        </w:rPr>
        <w:t>TIA</w:t>
      </w:r>
      <w:r>
        <w:rPr>
          <w:rFonts w:ascii="Arial" w:cs="Arial" w:eastAsia="Arial" w:hAnsi="Arial"/>
          <w:sz w:val="18"/>
          <w:szCs w:val="18"/>
          <w:color w:val="auto"/>
        </w:rPr>
        <w:t>”), excluding the provisions referred to in Section 316(a)(2) of the TIA as in effect at the date as of which the applicable indenture was executed or any corresponding provision in any similar federal statute hereafter enacted;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to be issued under the applicable indenture, to provide for the issuance of any series of debt securities and/or to add to the rights of the holders of debt securities;</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certain federal tax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provide for the terms and conditions of converting those debt securities that are convertible into common stock or another such similar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secure any series of debt securities;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SEC in connection with the qualification of the applicable indenture or any supplemental indenture under the TIA;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supplemental indenture for the purpose identified in clauses (2), (3) or (5) above may be entered into if to do so would adversely affect the rights of the holders of debt securities of any series issued under the same indenture in any material respect.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applicable indenture or modifying the rights of the holders of the debt securities of such series to be affected, except that no such supplemental indenture may, without the consent of the holders of affected debt securities, among other things:</w:t>
      </w:r>
    </w:p>
    <w:p>
      <w:pPr>
        <w:spacing w:after="0" w:line="35" w:lineRule="exact"/>
        <w:rPr>
          <w:sz w:val="20"/>
          <w:szCs w:val="20"/>
          <w:color w:val="auto"/>
        </w:rPr>
      </w:pPr>
    </w:p>
    <w:p>
      <w:pPr>
        <w:ind w:left="900" w:right="180" w:hanging="325"/>
        <w:spacing w:after="0" w:line="25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1"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modify any of the provisions of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 or adversely affect the right of any holder to institute suit for the enforcement of any payment on, or with respect to, such senior debt securities on or after the maturity of such debt securities.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U.S. Bank National Association is the Trustee under each indenture. The Trustee and its affiliates may also provide banking, trustee and other services for us, and transact other banking business with us, in the normal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deposit global securities with the depositary identified in the prospectus supplement. After we issue a global security, the depositary will credit on its book-entry registration and transfer system the respective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Stock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 particular issue of debt warrants will describe the terms of such debt warrants, including the following:</w:t>
      </w:r>
    </w:p>
    <w:p>
      <w:pPr>
        <w:spacing w:after="0" w:line="113"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offering price for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such debt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with which such debt warrants are issued and the number of such debt warrants issued with each such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applicable, the date from and after which such debt warrants and any debt securities issued therewith will be separately transferable;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the right to exercise such debt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debt warrants that may be exercised at any one time;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antidilution or adjustment provisions of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debt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any additional terms of such debt warrants, including terms, procedures, and limitations relating to the exchange and exercise of such debt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purchasable upon exercise of such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designation and terms of the offered securities with which such warrants are issued and the number of such warrants issued with each such offered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applicable, the date from and after which such warrants and any offered securities issued therewith will be separately transferable;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such shares may be purchased upon exercise;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purchasable upon exercise of the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issue, from time to time, purchase contracts, including contracts obligating holders to purchase from us and us to sell to the holders, a specified principal amount of senior debt securities, subordinated debt securities, shares of common stock or preferred stock, depositary shares, government securities,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UNITS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prospectus supplement related to any particular units will describe, among other things:</w:t>
      </w:r>
    </w:p>
    <w:p>
      <w:pPr>
        <w:spacing w:after="0" w:line="90" w:lineRule="exact"/>
        <w:rPr>
          <w:sz w:val="20"/>
          <w:szCs w:val="20"/>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of the securities comprising the units;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appropriate, any special United States federal income tax considerations applicable to the units;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24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selling stockholders may offer and sell the securities in any one or more of the following ways:</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exercise of rights distributed or issued to our security 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agents on a best-efforts basis;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through a combination of any of the above methods of sale.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or the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the selling stockholders may also enter into hedging transactions with respect to our securities or the securities of such selling stockholders, as applicable. For example, we or the selling stockholders may:</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of common stock by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shares of common stock short and deliver the shares to close out short positions;</w:t>
      </w:r>
    </w:p>
    <w:p>
      <w:pPr>
        <w:spacing w:after="0" w:line="9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or the selling stockholders, as applicable, to deliver shares of common stock to an underwriter, broker or dealer, who will then resell or transfer the shares of common stock under this prospectus; or</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loan or pledge the shares of common stock to an underwriter, broker or dealer, who may sell the loaned shares or, in the event of default, sell the pledged shares.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selling stockholder will act independently of us in making decisions with respect to the timing, manner and size of each sale of shares of common stock covered by this prospectus.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Shares of common stock may also be exchanged for satisfaction of the selling stockholders’ obligations or other liabilities to their creditors. Such transactions may or may not involve brokers or dealers.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time we or the selling stockholders sell securities, we will provide a prospectus supplement that will name any underwriter, dealer or agent involved in the offer and sale of the securities. The prospectus supplement will also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and/or such selling stockholders, as applicable, will receive from the sale of the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public offering or purchase price and any discounts or commissions allowed or re-allowed or paid to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commissions allowed or paid to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offering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method of distribution of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any agreement, arrangement or understanding entered into with the underwriters, brokers or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The securities may be sold from time to time by us or the selling stockholders in one or more transactions:</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sales may be effected:</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transactions on any national securities exchange or quotation service on which the securities may be listed or quoted at the time of sale;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transactions in the over-the-counter market;</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the writing of options;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other types of transactions.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370" w:lineRule="auto"/>
        <w:rPr>
          <w:sz w:val="20"/>
          <w:szCs w:val="20"/>
          <w:color w:val="auto"/>
        </w:rPr>
      </w:pPr>
      <w:r>
        <w:rPr>
          <w:rFonts w:ascii="Arial" w:cs="Arial" w:eastAsia="Arial" w:hAnsi="Arial"/>
          <w:sz w:val="15"/>
          <w:szCs w:val="15"/>
          <w:color w:val="auto"/>
        </w:rPr>
        <w:t>The selling stockholders might not sell any shares of common stock under this prospectus. In addition, any shares of common stock covered by this prospectus that qualify for sale pursuant to Rule 144 under the Securities Act of 1933 may be sold under Rule 144 rather than pursuant to this prospectus.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sold directly by us or the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prospectus supplement. Unless otherwise indicated in the prospectus supplement, any such agent will be acting on a best efforts basis for the period of its appointment.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of 1933 with respect to any resale of the securities. The terms of any offer made in this manner will be included in the prospectus supplement relating to the offer.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5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all cases, these purchasers must be approved by us or the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the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the underwriters, dealers or agents used by us or the selling stockholders in any offering of securities under this prospectus may be customers of, engage in transactions with, and perform services for us and/or such selling stockholders, as applicable, or affiliates of ours and/or theirs, as applicable, in the ordinary course of business. Underwriters, dealers, agents and other persons may be entitled under agreements which may be entered into with us and/or the selling stockholders to indemnification against and contribution toward certain civil liabilities, including liabilities under the Securities Act of 1933, and to be reimbursed by us and/or such selling stockholders for certain expenses.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underwriters to which offered securities are sold by us or the selling stockholders for public offering and sale may make a market in such securities, but those underwriters will not be obligated to do so and may discontinue any market making at any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anticipated date of delivery of the securities offered by this prospectus will be described in the applicable prospectus supplement relating to the offering.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more than 10 percent of the net proceeds of any offering of securities made under this prospectus will be received by members of the Financial Industry Regulatory Authority, or FINRA, participating in the offering or by affiliates or associated persons of such FINRA members, the offering will be conducted in accordance with NASD Conduct Rule 2710(h). The maximum compensation we will pay to underwriters in connection with any offering of the securities will not exceed 8% of the maximum proceeds of such offering.</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appearing in ExlService Holdings, Inc.’s Annual Report (Form 10-K) for the year ended December 31, 2008, and the effectiveness of ExlService Holdings, Inc.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Securities Act of 1933, as amended, ExlService filed a registration statement relating to the securities offered by this prospectus with the SEC. This prospectus is a part of that registration statement, which includes additional information.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Securities Exchange Act of 1934, as amended. These filings are available to the public on the SEC’s website at www.sec.gov. You may also read and copy any document the Company files at the SEC’s public reference room at 100 F Street, N.E., Washington, D.C. Please call the SEC at 1-800-SEC-0330 for further information on the public reference room. ExlService maintains a website at www.exlservice.com where the Annual Report on Form 10-K, Quarterly Reports on Form 10-Q, Current Reports on Form 8-K and all amendments to those reports are available without charge, as soon as reasonably practicable after those reports are filed with or furnished to the SEC.</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 or at its public reference room.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information in this prospectus. In all cases, you should rely on the later information over different information included in this prospectus or the prospectus supplement. We incorporate by reference the following documents which have been filed with the SEC:</w:t>
      </w:r>
    </w:p>
    <w:p>
      <w:pPr>
        <w:spacing w:after="0" w:line="32" w:lineRule="exact"/>
        <w:rPr>
          <w:sz w:val="20"/>
          <w:szCs w:val="20"/>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2008, including portions of our Proxy Statement for the 2009 Annual Meeting of Stockholders (filed on April 30, 2009) to the extent specifically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2009, June 30, 2009 and September 30,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Current Reports on Form 8-K filed on January 30, 2009, March 11, 2009 (with regard to Item 5.02 thereof only) and April 7, 2009;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description of the Company’s common stock set forth in the Company’s Registration Statement on Form 8-A filed on October 17, 2006.</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documents and reports that we file with the SEC (other than any portion of such filings that are furnished under applicable SEC rules rather than filed) pursuant to Section 13(a), 13(c), 14 or 15(d) of the Securities Exchange Act of 1934, as amended after the date of this prospectus and before the later of (1) the completion of the offering of the securities described in this prospectus and (2) the date we stop offering securities pursuant to this prospectus, shall be incorporated by reference in this prospectus from the date of filing of such documents. The information contained on our website (www.exlservice.com) is not incorporated into this prospectus.</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You should not assume that the information in this prospectus, the prospectus supplement, any applicable pricing supplement or any documents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1045845</wp:posOffset>
            </wp:positionV>
            <wp:extent cx="1140460" cy="909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33" w:lineRule="exact"/>
        <w:rPr>
          <w:sz w:val="20"/>
          <w:szCs w:val="20"/>
          <w:color w:val="auto"/>
        </w:rPr>
      </w:pPr>
    </w:p>
    <w:p>
      <w:pPr>
        <w:ind w:left="4620"/>
        <w:spacing w:after="0"/>
        <w:rPr>
          <w:sz w:val="20"/>
          <w:szCs w:val="20"/>
          <w:color w:val="auto"/>
        </w:rPr>
      </w:pPr>
      <w:r>
        <w:rPr>
          <w:rFonts w:ascii="Arial" w:cs="Arial" w:eastAsia="Arial" w:hAnsi="Arial"/>
          <w:sz w:val="32"/>
          <w:szCs w:val="32"/>
          <w:b w:val="1"/>
          <w:bCs w:val="1"/>
          <w:color w:val="auto"/>
        </w:rPr>
        <w:t>Preferred Stock</w:t>
      </w: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Debt Securities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Depositary Shares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Warrants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Rights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Purchase Contracts</w:t>
      </w: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099"/>
        <w:spacing w:after="0"/>
        <w:rPr>
          <w:sz w:val="20"/>
          <w:szCs w:val="20"/>
          <w:color w:val="auto"/>
        </w:rPr>
      </w:pPr>
      <w:r>
        <w:rPr>
          <w:rFonts w:ascii="Arial" w:cs="Arial" w:eastAsia="Arial" w:hAnsi="Arial"/>
          <w:sz w:val="32"/>
          <w:szCs w:val="32"/>
          <w:b w:val="1"/>
          <w:bCs w:val="1"/>
          <w:color w:val="auto"/>
        </w:rPr>
        <w:t>P R O S P E C T U S</w:t>
      </w:r>
    </w:p>
    <w:p>
      <w:pPr>
        <w:spacing w:after="0" w:line="335"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 2009</w:t>
      </w:r>
    </w:p>
    <w:p>
      <w:pPr>
        <w:sectPr>
          <w:pgSz w:w="11900" w:h="16838" w:orient="portrait"/>
          <w:cols w:equalWidth="0" w:num="1">
            <w:col w:w="10219"/>
          </w:cols>
          <w:pgMar w:left="240" w:top="45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the expenses to be borne by ExlService Holdings, Inc. in connection with the issuance and distribution of the securities being registered, excluding underwriting fees and expenses. All the amounts shown are estimates except the registration fee paid to the Securities and Exchange Commission.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and duplicating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Miscellaneous expenses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$175,000</w:t>
            </w:r>
          </w:p>
        </w:tc>
      </w:tr>
    </w:tbl>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or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amended and restated certificate of incorporation provides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we refer to as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provided, however, that we shall be required to indemnify a person in connection with a proceeding (or part thereof) initiated by such person only if the commencement of such proceeding (or part thereof) was authorized by our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amended and restated certificate of incorporation limits the personal liability of our directors to the fullest extent permitted by section 102 of the DGCL.</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of 1933 and is therefore unenforceable.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exhibits filed with this registration statement is contained in the exhibits index, which is incorporated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ind w:right="40" w:firstLine="921"/>
        <w:spacing w:after="0" w:line="291" w:lineRule="auto"/>
        <w:tabs>
          <w:tab w:leader="none" w:pos="1171"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right="60" w:firstLine="921"/>
        <w:spacing w:after="0" w:line="268" w:lineRule="auto"/>
        <w:tabs>
          <w:tab w:leader="none" w:pos="12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(ii) and (iii)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right="180"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71" w:lineRule="exact"/>
        <w:rPr>
          <w:rFonts w:ascii="Arial" w:cs="Arial" w:eastAsia="Arial" w:hAnsi="Arial"/>
          <w:sz w:val="18"/>
          <w:szCs w:val="18"/>
          <w:color w:val="auto"/>
        </w:rPr>
      </w:pPr>
    </w:p>
    <w:p>
      <w:pPr>
        <w:ind w:right="160" w:firstLine="921"/>
        <w:spacing w:after="0" w:line="268" w:lineRule="auto"/>
        <w:tabs>
          <w:tab w:leader="none" w:pos="1123"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1" w:lineRule="exact"/>
        <w:rPr>
          <w:rFonts w:ascii="Arial" w:cs="Arial" w:eastAsia="Arial" w:hAnsi="Arial"/>
          <w:sz w:val="18"/>
          <w:szCs w:val="18"/>
          <w:color w:val="auto"/>
        </w:rPr>
      </w:pPr>
    </w:p>
    <w:p>
      <w:pPr>
        <w:ind w:firstLine="921"/>
        <w:spacing w:after="0" w:line="287" w:lineRule="auto"/>
        <w:tabs>
          <w:tab w:leader="none" w:pos="11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 statement made in a registration statement or prospectus that is part of the registration statement or made in a document incorporated</w:t>
      </w:r>
      <w:r>
        <w:rPr>
          <w:rFonts w:ascii="Arial" w:cs="Arial" w:eastAsia="Arial" w:hAnsi="Arial"/>
          <w:sz w:val="16"/>
          <w:szCs w:val="16"/>
          <w:i w:val="1"/>
          <w:iCs w:val="1"/>
          <w:color w:val="auto"/>
        </w:rPr>
        <w:t xml:space="preserve"> </w:t>
      </w:r>
      <w:r>
        <w:rPr>
          <w:rFonts w:ascii="Arial" w:cs="Arial" w:eastAsia="Arial" w:hAnsi="Arial"/>
          <w:sz w:val="16"/>
          <w:szCs w:val="16"/>
          <w:color w:val="auto"/>
        </w:rPr>
        <w:t>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2"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w:t>
      </w:r>
    </w:p>
    <w:p>
      <w:pPr>
        <w:spacing w:after="0" w:line="112" w:lineRule="exact"/>
        <w:rPr>
          <w:rFonts w:ascii="Arial" w:cs="Arial" w:eastAsia="Arial" w:hAnsi="Arial"/>
          <w:sz w:val="16"/>
          <w:szCs w:val="16"/>
          <w:color w:val="auto"/>
        </w:rPr>
      </w:pPr>
    </w:p>
    <w:p>
      <w:pPr>
        <w:ind w:left="1120" w:hanging="199"/>
        <w:spacing w:after="0"/>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preliminary prospectus or prospectus of the registrant relating to the offering required to be filed pursuant to Rule 424;</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registrant or used or referred to by the registrant;</w:t>
      </w:r>
    </w:p>
    <w:p>
      <w:pPr>
        <w:spacing w:after="0" w:line="194" w:lineRule="exact"/>
        <w:rPr>
          <w:rFonts w:ascii="Arial" w:cs="Arial" w:eastAsia="Arial" w:hAnsi="Arial"/>
          <w:sz w:val="16"/>
          <w:szCs w:val="16"/>
          <w:color w:val="auto"/>
        </w:rPr>
      </w:pPr>
    </w:p>
    <w:p>
      <w:pPr>
        <w:ind w:right="380" w:firstLine="921"/>
        <w:spacing w:after="0" w:line="268" w:lineRule="auto"/>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registrant or its securities provided by or on behalf of the registrant;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registrant to the purchaser.</w:t>
      </w:r>
    </w:p>
    <w:p>
      <w:pPr>
        <w:spacing w:after="0" w:line="17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Securities Act of 1933 and is, therefore,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240" w:top="459" w:right="5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ExlService Holdings, Inc. certifies that it has reasonable grounds to believe that it meets all of the requirements for filing on Form S-3 and has duly caused this amendment to the Registration Statement to be signed on its behalf by the undersigned, thereunto duly authorized, in the City of New York, State of New York, on November 20, 2009.</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Rohit Kapoor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15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has been signed below by the following persons in the capacities indicated on November 20,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Title/Position</w:t>
            </w:r>
          </w:p>
        </w:tc>
        <w:tc>
          <w:tcPr>
            <w:tcW w:w="2120" w:type="dxa"/>
            <w:vAlign w:val="bottom"/>
          </w:tcPr>
          <w:p>
            <w:pPr>
              <w:spacing w:after="0"/>
              <w:rPr>
                <w:sz w:val="14"/>
                <w:szCs w:val="14"/>
                <w:color w:val="auto"/>
              </w:rPr>
            </w:pPr>
          </w:p>
        </w:tc>
      </w:tr>
      <w:tr>
        <w:trPr>
          <w:trHeight w:val="425"/>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w w:val="90"/>
              </w:rPr>
              <w:t>Chief Executive Officer, President and Director (Principal Executive Officer)</w:t>
            </w:r>
          </w:p>
        </w:tc>
      </w:tr>
      <w:tr>
        <w:trPr>
          <w:trHeight w:val="217"/>
        </w:trPr>
        <w:tc>
          <w:tcPr>
            <w:tcW w:w="2820" w:type="dxa"/>
            <w:vAlign w:val="bottom"/>
            <w:gridSpan w:val="5"/>
          </w:tcPr>
          <w:p>
            <w:pPr>
              <w:spacing w:after="0"/>
              <w:rPr>
                <w:sz w:val="20"/>
                <w:szCs w:val="20"/>
                <w:color w:val="auto"/>
              </w:rPr>
            </w:pPr>
            <w:r>
              <w:rPr>
                <w:rFonts w:ascii="Arial" w:cs="Arial" w:eastAsia="Arial" w:hAnsi="Arial"/>
                <w:sz w:val="18"/>
                <w:szCs w:val="18"/>
                <w:color w:val="auto"/>
              </w:rPr>
              <w:t>Rohit Kapoor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217"/>
        </w:trPr>
        <w:tc>
          <w:tcPr>
            <w:tcW w:w="2820" w:type="dxa"/>
            <w:vAlign w:val="bottom"/>
            <w:gridSpan w:val="5"/>
          </w:tcPr>
          <w:p>
            <w:pPr>
              <w:spacing w:after="0"/>
              <w:rPr>
                <w:sz w:val="20"/>
                <w:szCs w:val="20"/>
                <w:color w:val="auto"/>
              </w:rPr>
            </w:pPr>
            <w:r>
              <w:rPr>
                <w:rFonts w:ascii="Arial" w:cs="Arial" w:eastAsia="Arial" w:hAnsi="Arial"/>
                <w:sz w:val="18"/>
                <w:szCs w:val="18"/>
                <w:color w:val="auto"/>
              </w:rPr>
              <w:t>Vishal Chhibbar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Executive Chairman</w:t>
            </w:r>
          </w:p>
        </w:tc>
      </w:tr>
      <w:tr>
        <w:trPr>
          <w:trHeight w:val="217"/>
        </w:trPr>
        <w:tc>
          <w:tcPr>
            <w:tcW w:w="2820" w:type="dxa"/>
            <w:vAlign w:val="bottom"/>
            <w:gridSpan w:val="5"/>
          </w:tcPr>
          <w:p>
            <w:pPr>
              <w:spacing w:after="0"/>
              <w:rPr>
                <w:sz w:val="20"/>
                <w:szCs w:val="20"/>
                <w:color w:val="auto"/>
              </w:rPr>
            </w:pPr>
            <w:r>
              <w:rPr>
                <w:rFonts w:ascii="Arial" w:cs="Arial" w:eastAsia="Arial" w:hAnsi="Arial"/>
                <w:sz w:val="18"/>
                <w:szCs w:val="18"/>
                <w:color w:val="auto"/>
              </w:rPr>
              <w:t>Vikram Talwar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Steven B. Gruber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Edward V. Dardani</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Kiran Karnik</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David B. Kelso</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Clyde W. Ostler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Mohanbir Sawhney</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Garen K. Staglin</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65"/>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c>
          <w:tcPr>
            <w:tcW w:w="17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80" w:type="dxa"/>
            <w:vAlign w:val="bottom"/>
          </w:tcPr>
          <w:p>
            <w:pPr>
              <w:ind w:left="2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0"/>
              </w:rPr>
              <w:t>Number</w:t>
            </w:r>
          </w:p>
        </w:tc>
        <w:tc>
          <w:tcPr>
            <w:tcW w:w="10880" w:type="dxa"/>
            <w:vAlign w:val="bottom"/>
            <w:gridSpan w:val="3"/>
          </w:tcPr>
          <w:p>
            <w:pPr>
              <w:ind w:left="88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Equity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Depositary Shares.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Purchase Contracts.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Units.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Warrants.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the Current Report on Form 8-K filed 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October 25, 2006).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Second Amended and Restated By-laws (incorporated by reference to Exhibit 3.1 to the Current Report on Form 8-K filed on April 30, 2008).</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Specimen Stock Certificate (incorporated by reference to Exhibit 4.1 of Amendment 6 to the Registration Statement on Form S-1 (No. 333-</w:t>
            </w:r>
          </w:p>
        </w:tc>
      </w:tr>
      <w:tr>
        <w:trPr>
          <w:trHeight w:val="222"/>
        </w:trPr>
        <w:tc>
          <w:tcPr>
            <w:tcW w:w="520" w:type="dxa"/>
            <w:vAlign w:val="bottom"/>
          </w:tcPr>
          <w:p>
            <w:pPr>
              <w:spacing w:after="0"/>
              <w:rPr>
                <w:sz w:val="19"/>
                <w:szCs w:val="19"/>
                <w:color w:val="auto"/>
              </w:rPr>
            </w:pPr>
          </w:p>
        </w:tc>
        <w:tc>
          <w:tcPr>
            <w:tcW w:w="2400" w:type="dxa"/>
            <w:vAlign w:val="bottom"/>
            <w:gridSpan w:val="2"/>
          </w:tcPr>
          <w:p>
            <w:pPr>
              <w:ind w:left="880"/>
              <w:spacing w:after="0"/>
              <w:rPr>
                <w:sz w:val="20"/>
                <w:szCs w:val="20"/>
                <w:color w:val="auto"/>
              </w:rPr>
            </w:pPr>
            <w:r>
              <w:rPr>
                <w:rFonts w:ascii="Arial" w:cs="Arial" w:eastAsia="Arial" w:hAnsi="Arial"/>
                <w:sz w:val="18"/>
                <w:szCs w:val="18"/>
                <w:color w:val="auto"/>
              </w:rPr>
              <w:t>121001)).</w:t>
            </w:r>
          </w:p>
        </w:tc>
        <w:tc>
          <w:tcPr>
            <w:tcW w:w="8480" w:type="dxa"/>
            <w:vAlign w:val="bottom"/>
          </w:tcPr>
          <w:p>
            <w:pPr>
              <w:spacing w:after="0"/>
              <w:rPr>
                <w:sz w:val="19"/>
                <w:szCs w:val="19"/>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3"/>
              </w:rPr>
              <w:t>Registration Rights Agreement (incorporated by reference to Exhibit 4.1 to the Current Report on Form 8-K filed on October 25, 2006).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Form of Indenture to be entered into by ExlService Holdings, Inc. and U.S. Bank National Association, as trustee (the “Senior Indenture”).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5"/>
              </w:rPr>
              <w:t>Form of Indenture to be entered into by ExlService Holdings, Inc. and U.S. Bank National Association, as trustee (the “Subordinated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Indenture”).</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Deposit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Depositary Receipt.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Warrant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Warrant.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Rights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Purchase Contract.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Computation of ratio of earnings to fixed charges of ExlService Holdings, Inc.</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Consent of Paul, Weiss, Rifkind, Wharton &amp; Garrison LLP (contained in Exhibit 5.1).</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Power of Attorney.</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Senior Indenture.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00" w:firstLine="8"/>
        <w:spacing w:after="0" w:line="268" w:lineRule="auto"/>
        <w:tabs>
          <w:tab w:leader="none" w:pos="3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filed, if necessary, by a post-effective amendment to the registration statement or as an exhibit to a document incorporated by reference herein. ** Previously filed.</w:t>
      </w:r>
    </w:p>
    <w:p>
      <w:pPr>
        <w:sectPr>
          <w:pgSz w:w="11900" w:h="16838" w:orient="portrait"/>
          <w:cols w:equalWidth="0" w:num="1">
            <w:col w:w="11400"/>
          </w:cols>
          <w:pgMar w:left="240" w:top="459"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10019-6064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S-3 (File No. 333-162335)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We have acted as special counsel to ExlService Holdings, Inc., a Delaware corporation (the “Company”), in connection with the Registration Statement on Form S-3, as amended (the “Registration Statement”), of the Company filed today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 Act of the following securities of the Company (together, the “Securities”):</w:t>
      </w:r>
    </w:p>
    <w:p>
      <w:pPr>
        <w:spacing w:after="0" w:line="62" w:lineRule="exact"/>
        <w:rPr>
          <w:sz w:val="20"/>
          <w:szCs w:val="20"/>
          <w:color w:val="auto"/>
        </w:rPr>
      </w:pPr>
    </w:p>
    <w:p>
      <w:pPr>
        <w:ind w:left="1480" w:right="780" w:hanging="567"/>
        <w:spacing w:after="0" w:line="332" w:lineRule="auto"/>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senior debt securities (the “Company Senior Debt Securities”) and subordinated debt securities (the “Company Subordinated Debt Securities” and, together with the Company Senior Debt Securities, the “Company Debt Securities”);</w:t>
      </w:r>
    </w:p>
    <w:p>
      <w:pPr>
        <w:spacing w:after="0" w:line="4" w:lineRule="exact"/>
        <w:rPr>
          <w:rFonts w:ascii="Arial" w:cs="Arial" w:eastAsia="Arial" w:hAnsi="Arial"/>
          <w:sz w:val="16"/>
          <w:szCs w:val="16"/>
          <w:color w:val="auto"/>
        </w:rPr>
      </w:pPr>
    </w:p>
    <w:p>
      <w:pPr>
        <w:ind w:left="1480" w:right="480" w:hanging="567"/>
        <w:spacing w:after="0" w:line="332" w:lineRule="auto"/>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of preferred stock (including shares issued upon conversion of the Company Debt Securities or upon the exercise of warrants or purchase contracts) of the Company, par value $0.001 per share (the “Company Preferred Stock”);</w:t>
      </w:r>
    </w:p>
    <w:p>
      <w:pPr>
        <w:spacing w:after="0" w:line="4" w:lineRule="exact"/>
        <w:rPr>
          <w:rFonts w:ascii="Arial" w:cs="Arial" w:eastAsia="Arial" w:hAnsi="Arial"/>
          <w:sz w:val="16"/>
          <w:szCs w:val="16"/>
          <w:color w:val="auto"/>
        </w:rPr>
      </w:pPr>
    </w:p>
    <w:p>
      <w:pPr>
        <w:ind w:left="1480" w:right="220" w:hanging="567"/>
        <w:spacing w:after="0" w:line="259"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common stock (including shares issuable upon conversion or exchange of the Company Debt Securities or Company Preferred Stock or upon the exercise of warrants, rights or purchase contracts) of the Company, par value $0.001 per share (the “Company Common Stock”);</w:t>
      </w:r>
    </w:p>
    <w:p>
      <w:pPr>
        <w:spacing w:after="0" w:line="59"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6,000,000 shares of common stock of the Company, par value $0.001 per share, that may be offered by certain stockholders of the Company (the “Selling Stockholder Common Stock”);</w:t>
      </w:r>
    </w:p>
    <w:p>
      <w:pPr>
        <w:sectPr>
          <w:pgSz w:w="11900" w:h="16838" w:orient="portrait"/>
          <w:cols w:equalWidth="0" w:num="1">
            <w:col w:w="11420"/>
          </w:cols>
          <w:pgMar w:left="240" w:top="125" w:right="239" w:bottom="1440" w:gutter="0" w:footer="0" w:header="0"/>
        </w:sectPr>
      </w:pPr>
    </w:p>
    <w:bookmarkStart w:id="40" w:name="page41"/>
    <w:bookmarkEnd w:id="40"/>
    <w:p>
      <w:pPr>
        <w:ind w:left="1480" w:right="520" w:hanging="567"/>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depositary shares representing a fractional share or multiple shares of Company Preferred Stock evidenced by depositary receipts (the “Company Depositary Shares”);</w:t>
      </w:r>
    </w:p>
    <w:p>
      <w:pPr>
        <w:spacing w:after="0" w:line="50" w:lineRule="exact"/>
        <w:rPr>
          <w:rFonts w:ascii="Arial" w:cs="Arial" w:eastAsia="Arial" w:hAnsi="Arial"/>
          <w:sz w:val="18"/>
          <w:szCs w:val="18"/>
          <w:color w:val="auto"/>
        </w:rPr>
      </w:pPr>
    </w:p>
    <w:p>
      <w:pPr>
        <w:ind w:left="1480" w:right="220" w:hanging="567"/>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warrants to purchase Company Debt Securities, Company Preferred Stock, Company Common Stock, Company Depositary Shares or any combination of them (the “Company Warrants”);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rights to purchase Company Common Stock (the “Company Rights”);</w:t>
      </w:r>
    </w:p>
    <w:p>
      <w:pPr>
        <w:spacing w:after="0" w:line="90" w:lineRule="exact"/>
        <w:rPr>
          <w:rFonts w:ascii="Arial" w:cs="Arial" w:eastAsia="Arial" w:hAnsi="Arial"/>
          <w:sz w:val="18"/>
          <w:szCs w:val="18"/>
          <w:color w:val="auto"/>
        </w:rPr>
      </w:pPr>
    </w:p>
    <w:p>
      <w:pPr>
        <w:ind w:left="1480" w:right="160" w:hanging="567"/>
        <w:spacing w:after="0" w:line="332" w:lineRule="auto"/>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purchase contracts representing the Company’s obligation to sell Company Debt Securities, Company Preferred Stock, Company Common Stock, Depositary Shares, Company Warrants or government securities (the “Company Purchase Contracts”); and</w:t>
      </w:r>
    </w:p>
    <w:p>
      <w:pPr>
        <w:spacing w:after="0" w:line="4" w:lineRule="exact"/>
        <w:rPr>
          <w:rFonts w:ascii="Arial" w:cs="Arial" w:eastAsia="Arial" w:hAnsi="Arial"/>
          <w:sz w:val="16"/>
          <w:szCs w:val="16"/>
          <w:color w:val="auto"/>
        </w:rPr>
      </w:pPr>
    </w:p>
    <w:p>
      <w:pPr>
        <w:ind w:left="1480" w:right="240" w:hanging="567"/>
        <w:spacing w:after="0" w:line="259"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units consisting of any combination of two or more of Company Debt Securities, Company Preferred Stock, Company Common Stock, Company Depositary Shares, Company Warrants, Company Purchase Contracts or debt obligations of third parties, including government securities (the “Company Units”).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Securities are being registered for offering and sale from time to time as provided by Rule 415 under the Act.</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Company Senior Debt Securities are to be issued under an indenture to be entered into by and among the Company and U.S. Bank National Association, as trustee (the “Company Senior Debt Indenture”). The Company Subordinated Debt Securities are to be issued under an indenture to be entered into by and among the Company and U.S. Bank National Association, as trustee (the “Company Subordinated Debt Indenture” and, together with the Company Senior Debt Indenture, the “Company Indentures”).</w:t>
      </w:r>
    </w:p>
    <w:p>
      <w:pPr>
        <w:spacing w:after="0" w:line="143"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The Company Depositary Shares are to be issued under deposit agreements, each between the Company and a depositary to be identified in the applicable agreement (each, a “Depositary Agreement”). The Company Warrants are to be issued under warrant agreements, each between the Company and a warrant agent to be identified in the applicable agreement (each, a “Warrant Agreement”). The Company Rights are to be issued under rights agreements, each between the Company and a rights agent to be identified in the applicable agreement (each, a “Rights Agreement”). The Company Purchase Contracts will be issued under purchase contract agreements, each between the Company and a purchase contract agent to be identified in the applicable agreement (each, a “Purchase Contract Agreement”). The Company Units are to be issued under unit agreements, each between the Company and a unit agent to be identified in the applicable agreement (each, a “Unit Agreement”).</w:t>
      </w:r>
    </w:p>
    <w:p>
      <w:pPr>
        <w:sectPr>
          <w:pgSz w:w="11900" w:h="16838" w:orient="portrait"/>
          <w:cols w:equalWidth="0" w:num="1">
            <w:col w:w="11400"/>
          </w:cols>
          <w:pgMar w:left="240" w:top="280" w:right="259" w:bottom="1440" w:gutter="0" w:footer="0" w:header="0"/>
        </w:sectPr>
      </w:pPr>
    </w:p>
    <w:bookmarkStart w:id="41" w:name="page42"/>
    <w:bookmarkEnd w:id="41"/>
    <w:p>
      <w:pPr>
        <w:ind w:right="2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furnishing of this opinion, we have examined original, or copies certified or otherwise identified to our satisfaction, of the following documents:</w:t>
      </w:r>
    </w:p>
    <w:p>
      <w:pPr>
        <w:spacing w:after="0" w:line="132" w:lineRule="exact"/>
        <w:rPr>
          <w:sz w:val="20"/>
          <w:szCs w:val="20"/>
          <w:color w:val="auto"/>
        </w:rPr>
      </w:pPr>
    </w:p>
    <w:p>
      <w:pPr>
        <w:ind w:left="1100" w:hanging="179"/>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Registration Statement; and</w:t>
      </w:r>
    </w:p>
    <w:p>
      <w:pPr>
        <w:spacing w:after="0" w:line="171" w:lineRule="exact"/>
        <w:rPr>
          <w:rFonts w:ascii="Arial" w:cs="Arial" w:eastAsia="Arial" w:hAnsi="Arial"/>
          <w:sz w:val="18"/>
          <w:szCs w:val="18"/>
          <w:color w:val="auto"/>
        </w:rPr>
      </w:pPr>
    </w:p>
    <w:p>
      <w:pPr>
        <w:ind w:right="500" w:firstLine="921"/>
        <w:spacing w:after="0" w:line="268" w:lineRule="auto"/>
        <w:tabs>
          <w:tab w:leader="none" w:pos="10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forms of Company Senior Debt Indenture and Company Subordinate Debt Indenture (including the form of Securities included therein) attached as Exhibits 4.1 and 4.2, respectively, to the Registration Statement.</w:t>
      </w:r>
    </w:p>
    <w:p>
      <w:pPr>
        <w:spacing w:after="0" w:line="132"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In addition, we have examined (i) such corporate records of the Company as we have considered appropriate, including a copy of the certificate of incorporation, as amended, and by-laws, as amended, of the Company, and copies of resolutions of the board of directors of the Company and (ii) such other certificates, agreements and documents as we deemed relevant and necessary as a basis for the opinions expressed below. We have also relied upon the factual matters contained in the representations and warranties of the Company made in the documents reviewed by us and upon certificates of public officials and the officers of the Company.</w:t>
      </w:r>
    </w:p>
    <w:p>
      <w:pPr>
        <w:spacing w:after="0" w:line="14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such latter documents and that the statements regarding matters of fact in the certificates, records, agreements, instruments and documents that we have examined are accurate and complete.</w:t>
      </w:r>
    </w:p>
    <w:p>
      <w:pPr>
        <w:spacing w:after="0" w:line="14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We have also assumed, without independent investigation, that (i) the Company Indentures will be duly authorized, executed and delivered by the parties to them in substantially the forms filed as exhibits to the Registration Statement, (ii) each of the Depositary Agreements, the Warrant Agreements, the Rights Agreements, the Purchase Contract Agreements, the Unit Agreements and any other agreement entered into, or officer’s certificates or board resolutions delivered, in connection with the issuance of the Securities will be duly authorized, executed and delivered by the parties to such agreements (such agreements and documents, together with the Company Indentures, are referred to collectively as the “Operative Agreements”), (iii) each Operative Agreement, when so authorized, executed and delivered, will be a valid and legally binding obligation of the parties thereto (other than the Company), (iv) the Company Depositary Shares, the Company Warrants, the Company Rights, the Company Purchase Contracts, the Company Units and any related Operative Agreements will be governed by the laws of the State of New York and (v) in the case of Company Purchase Contracts or Company Units consisting at least in part of debt obligations of third parties, such debt obligations at all relevant times constitute the valid and legally binding obligations of the issuers thereof enforceable against the issuers thereof in accordance with their terms.</w:t>
      </w:r>
    </w:p>
    <w:p>
      <w:pPr>
        <w:sectPr>
          <w:pgSz w:w="11900" w:h="16838" w:orient="portrait"/>
          <w:cols w:equalWidth="0" w:num="1">
            <w:col w:w="11380"/>
          </w:cols>
          <w:pgMar w:left="240" w:top="280" w:right="279" w:bottom="1440" w:gutter="0" w:footer="0" w:header="0"/>
        </w:sectPr>
      </w:pPr>
    </w:p>
    <w:bookmarkStart w:id="42" w:name="page43"/>
    <w:bookmarkEnd w:id="42"/>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Securities of a particular series or issuance, other than the Selling Stockholder Common Stock, we have assumed that (i) the issuance, sale, number or amount, as the case may be, and terms of the Securities to be offered from time to time will be duly authorized and established, in accordance with the organizational documents of the Company, the laws of the State of New York and its jurisdiction of incorporation, and any applicable Operative Agreement, (ii) prior to the issuance of a series of Company Preferred Stock, an appropriate certificate of designation or board resolution relating to such series of Company Preferred Stock will have been duly authorized by the Company and filed with the Secretary of State of Delaware, (iii) the Securities will be duly authorized, executed, issued and delivered by the Company, and, in the case of Company Debt Securities, Company Depositary Shares, Company Warrants, Company Rights, Company Purchase Contracts and Company Units, duly authenticated or delivered by the applicable trustee or agent, in each case, against payment by the purchaser at the agreed-upon consideration, and (iv) the Securities will be issued and delivered as contemplated by the Registration Statement and the applicable prospectus supplement.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w:t>
      </w:r>
    </w:p>
    <w:p>
      <w:pPr>
        <w:spacing w:after="0" w:line="171" w:lineRule="exact"/>
        <w:rPr>
          <w:sz w:val="20"/>
          <w:szCs w:val="20"/>
          <w:color w:val="auto"/>
        </w:rPr>
      </w:pPr>
    </w:p>
    <w:p>
      <w:pPr>
        <w:ind w:right="60" w:firstLine="921"/>
        <w:spacing w:after="0" w:line="323" w:lineRule="auto"/>
        <w:tabs>
          <w:tab w:leader="none" w:pos="1088"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When the specific terms of a particular issuance of Company Debt Securities (including any Company Debt Securities duly issued upon exercise, exchange or conversion of any Security in accordance with its terms) have been duly authorized by the Company and such Company Debt Securities have been duly executed, authenticated, issued and delivered, and, if applicable, upon exercise, exchange or conversion of any Security in accordance with its terms, such Company Debt Securities will be valid and legally binding obligations of the Company enforceable against the Company in accordance with their terms.</w:t>
      </w:r>
    </w:p>
    <w:p>
      <w:pPr>
        <w:spacing w:after="0" w:line="97" w:lineRule="exact"/>
        <w:rPr>
          <w:rFonts w:ascii="Arial" w:cs="Arial" w:eastAsia="Arial" w:hAnsi="Arial"/>
          <w:sz w:val="15"/>
          <w:szCs w:val="15"/>
          <w:color w:val="auto"/>
        </w:rPr>
      </w:pPr>
    </w:p>
    <w:p>
      <w:pPr>
        <w:ind w:firstLine="921"/>
        <w:spacing w:after="0" w:line="259" w:lineRule="auto"/>
        <w:tabs>
          <w:tab w:leader="none" w:pos="10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due authorization by the Company of the issuance and sale of shares of a series of Company Preferred Stock, and, if applicable, upon exercise, exchange or conversion of any Security in accordance with its terms, such shares of Company Preferred Stock will be validly issued, fully paid and non-assessable.</w:t>
      </w:r>
    </w:p>
    <w:p>
      <w:pPr>
        <w:spacing w:after="0" w:line="140" w:lineRule="exact"/>
        <w:rPr>
          <w:rFonts w:ascii="Arial" w:cs="Arial" w:eastAsia="Arial" w:hAnsi="Arial"/>
          <w:sz w:val="18"/>
          <w:szCs w:val="18"/>
          <w:color w:val="auto"/>
        </w:rPr>
      </w:pPr>
    </w:p>
    <w:p>
      <w:pPr>
        <w:ind w:right="580" w:firstLine="921"/>
        <w:spacing w:after="0" w:line="259" w:lineRule="auto"/>
        <w:tabs>
          <w:tab w:leader="none" w:pos="10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due authorization by the Company of the issuance and sale of shares of Company Common Stock, and, if applicable, upon exercise, exchange or conversion of any Security in accordance with its terms, such shares of Company Common Stock will be validly issued, fully paid and non-assessable.</w:t>
      </w:r>
    </w:p>
    <w:p>
      <w:pPr>
        <w:spacing w:after="0" w:line="140" w:lineRule="exact"/>
        <w:rPr>
          <w:rFonts w:ascii="Arial" w:cs="Arial" w:eastAsia="Arial" w:hAnsi="Arial"/>
          <w:sz w:val="18"/>
          <w:szCs w:val="18"/>
          <w:color w:val="auto"/>
        </w:rPr>
      </w:pPr>
    </w:p>
    <w:p>
      <w:pPr>
        <w:ind w:firstLine="921"/>
        <w:spacing w:after="0" w:line="268" w:lineRule="auto"/>
        <w:tabs>
          <w:tab w:leader="none" w:pos="10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shares of Selling Stockholder Common Stock have been duly authorized by all necessary corporate action on the part of the Company and are validly issued, fully paid and non-assessable.</w:t>
      </w:r>
    </w:p>
    <w:p>
      <w:pPr>
        <w:spacing w:after="0" w:line="131" w:lineRule="exact"/>
        <w:rPr>
          <w:rFonts w:ascii="Arial" w:cs="Arial" w:eastAsia="Arial" w:hAnsi="Arial"/>
          <w:sz w:val="18"/>
          <w:szCs w:val="18"/>
          <w:color w:val="auto"/>
        </w:rPr>
      </w:pPr>
    </w:p>
    <w:p>
      <w:pPr>
        <w:jc w:val="both"/>
        <w:ind w:right="220" w:firstLine="921"/>
        <w:spacing w:after="0" w:line="335" w:lineRule="auto"/>
        <w:tabs>
          <w:tab w:leader="none" w:pos="1088"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When any Company Depositary Shares evidenced by depositary receipts are issued and delivered in accordance with the terms of a Depositary Agreement against the deposit of duly authorized, validly issued, fully paid and non-assessable shares of Company Preferred Stock, such Company Depositary Shares will be valid and legally binding obligations of the Company and will entitle the holders thereof to the rights specified in the Depositary Agreement.</w:t>
      </w:r>
    </w:p>
    <w:p>
      <w:pPr>
        <w:spacing w:after="0" w:line="88" w:lineRule="exact"/>
        <w:rPr>
          <w:rFonts w:ascii="Arial" w:cs="Arial" w:eastAsia="Arial" w:hAnsi="Arial"/>
          <w:sz w:val="15"/>
          <w:szCs w:val="15"/>
          <w:color w:val="auto"/>
        </w:rPr>
      </w:pPr>
    </w:p>
    <w:p>
      <w:pPr>
        <w:ind w:right="100" w:firstLine="921"/>
        <w:spacing w:after="0" w:line="259" w:lineRule="auto"/>
        <w:tabs>
          <w:tab w:leader="none" w:pos="10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When the specific terms of a particular issuance of Company Warrants have been duly authorized by the Company and such Company Warrants have been duly executed, authenticated, issued and delivered, such Company Warrants will be valid and legally binding obligations of the Company enforceable against the Company in accordance with their terms.</w:t>
      </w:r>
    </w:p>
    <w:p>
      <w:pPr>
        <w:sectPr>
          <w:pgSz w:w="11900" w:h="16838" w:orient="portrait"/>
          <w:cols w:equalWidth="0" w:num="1">
            <w:col w:w="11380"/>
          </w:cols>
          <w:pgMar w:left="240" w:top="280" w:right="279" w:bottom="1440" w:gutter="0" w:footer="0" w:header="0"/>
        </w:sectPr>
      </w:pPr>
    </w:p>
    <w:bookmarkStart w:id="43" w:name="page44"/>
    <w:bookmarkEnd w:id="43"/>
    <w:p>
      <w:pPr>
        <w:jc w:val="both"/>
        <w:ind w:right="40" w:firstLine="921"/>
        <w:spacing w:after="0" w:line="259" w:lineRule="auto"/>
        <w:tabs>
          <w:tab w:leader="none" w:pos="1088"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the specific terms of a particular issuance of Company Rights have been duly authorized by the Company and such Company Rights have been duly executed, authenticated, issued and delivered, such Company Rights will be valid and legally binding obligations of the Company enforceable against the Company in accordance with their terms.</w:t>
      </w:r>
    </w:p>
    <w:p>
      <w:pPr>
        <w:spacing w:after="0" w:line="140" w:lineRule="exact"/>
        <w:rPr>
          <w:rFonts w:ascii="Arial" w:cs="Arial" w:eastAsia="Arial" w:hAnsi="Arial"/>
          <w:sz w:val="18"/>
          <w:szCs w:val="18"/>
          <w:color w:val="auto"/>
        </w:rPr>
      </w:pPr>
    </w:p>
    <w:p>
      <w:pPr>
        <w:ind w:firstLine="921"/>
        <w:spacing w:after="0" w:line="332" w:lineRule="auto"/>
        <w:tabs>
          <w:tab w:leader="none" w:pos="1088"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When any Company Purchase Contracts have been duly authorized, executed and delivered by Company, such Company Purchase Contracts will be valid and legally binding obligations of the Company enforceable against the Company in accordance with their terms.</w:t>
      </w:r>
    </w:p>
    <w:p>
      <w:pPr>
        <w:spacing w:after="0" w:line="85" w:lineRule="exact"/>
        <w:rPr>
          <w:rFonts w:ascii="Arial" w:cs="Arial" w:eastAsia="Arial" w:hAnsi="Arial"/>
          <w:sz w:val="16"/>
          <w:szCs w:val="16"/>
          <w:color w:val="auto"/>
        </w:rPr>
      </w:pPr>
    </w:p>
    <w:p>
      <w:pPr>
        <w:ind w:right="440" w:firstLine="921"/>
        <w:spacing w:after="0" w:line="268" w:lineRule="auto"/>
        <w:tabs>
          <w:tab w:leader="none" w:pos="10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When any Company Units have been duly authorized, issued and delivered by the Company, such Company Units will be valid and legally binding obligations of the Company enforceable against the Company in accordance with their terms.</w:t>
      </w:r>
    </w:p>
    <w:p>
      <w:pPr>
        <w:spacing w:after="0" w:line="132"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opinions expressed above as to enforceability may be subject to (i) bankruptcy, insolvency, reorganization, fraudulent conveyance or transfer, moratorium or similar laws affecting creditors’ rights generally, (ii) general principles of equity (regardless of whether enforceability is considered in a proceeding in equity or at law) and (iii) requirements that a claim with respect to any Securities in denominations other than in United States dollars (or a judgment denominated other than into United States dollars in respect of the claim) be converted into United States dollars at a rate of exchange prevailing on a date determined by applicable law.</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opinions expressed above are limited to the laws of the State of New York and the Delaware General Corporation Law.</w:t>
      </w:r>
    </w:p>
    <w:p>
      <w:pPr>
        <w:spacing w:after="0" w:line="171"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We hereby consent to use of this opinion as an exhibit to the Registration Statement and to the use of our name under the heading “Legal Matters” contained in the prospectus included in the Registration Statement. In giving this consent, we do not hereby admit that we come within the category of persons whose consent is required by the Act or the Rules.</w:t>
      </w:r>
    </w:p>
    <w:p>
      <w:pPr>
        <w:spacing w:after="0" w:line="181"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80"/>
        <w:spacing w:after="0"/>
        <w:tabs>
          <w:tab w:leader="none" w:pos="7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AUL</w:t>
      </w:r>
      <w:r>
        <w:rPr>
          <w:rFonts w:ascii="Arial" w:cs="Arial" w:eastAsia="Arial" w:hAnsi="Arial"/>
          <w:sz w:val="16"/>
          <w:szCs w:val="16"/>
          <w:color w:val="auto"/>
        </w:rPr>
        <w:t>, W</w:t>
      </w:r>
      <w:r>
        <w:rPr>
          <w:rFonts w:ascii="Arial" w:cs="Arial" w:eastAsia="Arial" w:hAnsi="Arial"/>
          <w:sz w:val="13"/>
          <w:szCs w:val="13"/>
          <w:color w:val="auto"/>
        </w:rPr>
        <w:t>EISS</w:t>
      </w:r>
      <w:r>
        <w:rPr>
          <w:rFonts w:ascii="Arial" w:cs="Arial" w:eastAsia="Arial" w:hAnsi="Arial"/>
          <w:sz w:val="16"/>
          <w:szCs w:val="16"/>
          <w:color w:val="auto"/>
        </w:rPr>
        <w:t>, R</w:t>
      </w:r>
      <w:r>
        <w:rPr>
          <w:rFonts w:ascii="Arial" w:cs="Arial" w:eastAsia="Arial" w:hAnsi="Arial"/>
          <w:sz w:val="13"/>
          <w:szCs w:val="13"/>
          <w:color w:val="auto"/>
        </w:rPr>
        <w:t>IFKIND</w:t>
      </w:r>
      <w:r>
        <w:rPr>
          <w:rFonts w:ascii="Arial" w:cs="Arial" w:eastAsia="Arial" w:hAnsi="Arial"/>
          <w:sz w:val="16"/>
          <w:szCs w:val="16"/>
          <w:color w:val="auto"/>
        </w:rPr>
        <w:t>, W</w:t>
      </w:r>
      <w:r>
        <w:rPr>
          <w:rFonts w:ascii="Arial" w:cs="Arial" w:eastAsia="Arial" w:hAnsi="Arial"/>
          <w:sz w:val="13"/>
          <w:szCs w:val="13"/>
          <w:color w:val="auto"/>
        </w:rPr>
        <w:t>HARTON</w:t>
      </w:r>
      <w:r>
        <w:rPr>
          <w:rFonts w:ascii="Arial" w:cs="Arial" w:eastAsia="Arial" w:hAnsi="Arial"/>
          <w:sz w:val="16"/>
          <w:szCs w:val="16"/>
          <w:color w:val="auto"/>
        </w:rPr>
        <w:t xml:space="preserve"> &amp; G</w:t>
      </w:r>
      <w:r>
        <w:rPr>
          <w:rFonts w:ascii="Arial" w:cs="Arial" w:eastAsia="Arial" w:hAnsi="Arial"/>
          <w:sz w:val="13"/>
          <w:szCs w:val="13"/>
          <w:color w:val="auto"/>
        </w:rPr>
        <w:t>ARRISON</w:t>
      </w:r>
      <w:r>
        <w:rPr>
          <w:rFonts w:ascii="Arial" w:cs="Arial" w:eastAsia="Arial" w:hAnsi="Arial"/>
          <w:sz w:val="16"/>
          <w:szCs w:val="16"/>
          <w:color w:val="auto"/>
        </w:rPr>
        <w:t xml:space="preserve"> LLP</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PAUL, WEISS, RIFKIND, WHARTON &amp; GARRISON LLP</w:t>
      </w:r>
    </w:p>
    <w:p>
      <w:pPr>
        <w:sectPr>
          <w:pgSz w:w="11900" w:h="16838" w:orient="portrait"/>
          <w:cols w:equalWidth="0" w:num="1">
            <w:col w:w="11320"/>
          </w:cols>
          <w:pgMar w:left="240" w:top="28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7"/>
              </w:rPr>
              <w:t>Exhibit 12.1</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ExlService Holdings,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40" w:type="dxa"/>
            <w:vAlign w:val="bottom"/>
            <w:gridSpan w:val="18"/>
          </w:tcPr>
          <w:p>
            <w:pPr>
              <w:jc w:val="center"/>
              <w:ind w:left="2091"/>
              <w:spacing w:after="0"/>
              <w:rPr>
                <w:sz w:val="20"/>
                <w:szCs w:val="20"/>
                <w:color w:val="auto"/>
              </w:rPr>
            </w:pPr>
            <w:r>
              <w:rPr>
                <w:rFonts w:ascii="Arial" w:cs="Arial" w:eastAsia="Arial" w:hAnsi="Arial"/>
                <w:sz w:val="18"/>
                <w:szCs w:val="18"/>
                <w:b w:val="1"/>
                <w:bCs w:val="1"/>
                <w:color w:val="auto"/>
                <w:w w:val="88"/>
              </w:rPr>
              <w:t>Unaudited Computation of Ratio of Earnings to Fixed Charges and Preferred Dividends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0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77"/>
              </w:rPr>
              <w:t>figures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left="252"/>
              <w:spacing w:after="0" w:line="142" w:lineRule="exact"/>
              <w:rPr>
                <w:sz w:val="20"/>
                <w:szCs w:val="20"/>
                <w:color w:val="auto"/>
              </w:rPr>
            </w:pPr>
            <w:r>
              <w:rPr>
                <w:rFonts w:ascii="Arial" w:cs="Arial" w:eastAsia="Arial" w:hAnsi="Arial"/>
                <w:sz w:val="14"/>
                <w:szCs w:val="14"/>
                <w:b w:val="1"/>
                <w:bCs w:val="1"/>
                <w:color w:val="auto"/>
                <w:w w:val="88"/>
              </w:rPr>
              <w:t>(All</w:t>
            </w:r>
          </w:p>
        </w:tc>
        <w:tc>
          <w:tcPr>
            <w:tcW w:w="380" w:type="dxa"/>
            <w:vAlign w:val="bottom"/>
            <w:gridSpan w:val="2"/>
            <w:vMerge w:val="continue"/>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except</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ratios)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from continuing operations before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 taxes and minority interests</w:t>
            </w:r>
          </w:p>
        </w:tc>
        <w:tc>
          <w:tcPr>
            <w:tcW w:w="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8,099</w:t>
            </w:r>
          </w:p>
        </w:tc>
        <w:tc>
          <w:tcPr>
            <w:tcW w:w="58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6,703</w:t>
            </w:r>
          </w:p>
        </w:tc>
        <w:tc>
          <w:tcPr>
            <w:tcW w:w="560" w:type="dxa"/>
            <w:vAlign w:val="bottom"/>
            <w:gridSpan w:val="2"/>
            <w:shd w:val="clear" w:color="auto" w:fill="CCEEFF"/>
          </w:tcPr>
          <w:p>
            <w:pPr>
              <w:jc w:val="center"/>
              <w:ind w:left="232"/>
              <w:spacing w:after="0" w:line="15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9,797</w:t>
            </w:r>
          </w:p>
        </w:tc>
        <w:tc>
          <w:tcPr>
            <w:tcW w:w="2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16,601</w:t>
            </w:r>
          </w:p>
        </w:tc>
        <w:tc>
          <w:tcPr>
            <w:tcW w:w="50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6,356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(1,650)</w:t>
            </w:r>
          </w:p>
        </w:tc>
        <w:tc>
          <w:tcPr>
            <w:tcW w:w="2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8,099</w:t>
            </w:r>
          </w:p>
        </w:tc>
        <w:tc>
          <w:tcPr>
            <w:tcW w:w="5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6,703</w:t>
            </w:r>
          </w:p>
        </w:tc>
        <w:tc>
          <w:tcPr>
            <w:tcW w:w="56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9,797</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16,601</w:t>
            </w:r>
          </w:p>
        </w:tc>
        <w:tc>
          <w:tcPr>
            <w:tcW w:w="5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6,356</w:t>
            </w:r>
          </w:p>
        </w:tc>
        <w:tc>
          <w:tcPr>
            <w:tcW w:w="400" w:type="dxa"/>
            <w:vAlign w:val="bottom"/>
          </w:tcPr>
          <w:p>
            <w:pPr>
              <w:spacing w:after="0"/>
              <w:rPr>
                <w:sz w:val="13"/>
                <w:szCs w:val="13"/>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(1,650)</w:t>
            </w:r>
          </w:p>
        </w:tc>
        <w:tc>
          <w:tcPr>
            <w:tcW w:w="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charges:</w:t>
            </w: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Interest and other financial charges (a)</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One-third of rental expense(b)</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1,416</w:t>
            </w:r>
          </w:p>
        </w:tc>
        <w:tc>
          <w:tcPr>
            <w:tcW w:w="4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1,291</w:t>
            </w:r>
          </w:p>
        </w:tc>
        <w:tc>
          <w:tcPr>
            <w:tcW w:w="4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1,110</w:t>
            </w: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4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60" w:type="dxa"/>
            <w:vAlign w:val="bottom"/>
            <w:gridSpan w:val="2"/>
          </w:tcPr>
          <w:p>
            <w:pPr>
              <w:spacing w:after="0" w:line="155" w:lineRule="exact"/>
              <w:rPr>
                <w:sz w:val="20"/>
                <w:szCs w:val="20"/>
                <w:color w:val="auto"/>
              </w:rPr>
            </w:pPr>
            <w:r>
              <w:rPr>
                <w:rFonts w:ascii="Arial" w:cs="Arial" w:eastAsia="Arial" w:hAnsi="Arial"/>
                <w:sz w:val="14"/>
                <w:szCs w:val="14"/>
                <w:color w:val="auto"/>
              </w:rPr>
              <w:t>Total fixed charges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1,416</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1,291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1,795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1,110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985</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1,294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Adjusted earnings from continuing operations before</w:t>
            </w:r>
          </w:p>
        </w:tc>
        <w:tc>
          <w:tcPr>
            <w:tcW w:w="2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 taxes and minority interests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9,515</w:t>
            </w:r>
          </w:p>
        </w:tc>
        <w:tc>
          <w:tcPr>
            <w:tcW w:w="58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7,994</w:t>
            </w:r>
          </w:p>
        </w:tc>
        <w:tc>
          <w:tcPr>
            <w:tcW w:w="560" w:type="dxa"/>
            <w:vAlign w:val="bottom"/>
            <w:gridSpan w:val="2"/>
            <w:shd w:val="clear" w:color="auto" w:fill="CCEEFF"/>
          </w:tcPr>
          <w:p>
            <w:pPr>
              <w:jc w:val="center"/>
              <w:ind w:left="232"/>
              <w:spacing w:after="0" w:line="15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11,591</w:t>
            </w:r>
          </w:p>
        </w:tc>
        <w:tc>
          <w:tcPr>
            <w:tcW w:w="2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17,711</w:t>
            </w:r>
          </w:p>
        </w:tc>
        <w:tc>
          <w:tcPr>
            <w:tcW w:w="50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7,342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(356)</w:t>
            </w:r>
          </w:p>
        </w:tc>
        <w:tc>
          <w:tcPr>
            <w:tcW w:w="2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Ratio of earnings to fixed charges</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6.7</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6.2</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92"/>
              <w:spacing w:after="0" w:line="143" w:lineRule="exact"/>
              <w:rPr>
                <w:sz w:val="20"/>
                <w:szCs w:val="20"/>
                <w:color w:val="auto"/>
              </w:rPr>
            </w:pPr>
            <w:r>
              <w:rPr>
                <w:rFonts w:ascii="Arial" w:cs="Arial" w:eastAsia="Arial" w:hAnsi="Arial"/>
                <w:sz w:val="14"/>
                <w:szCs w:val="14"/>
                <w:color w:val="auto"/>
              </w:rPr>
              <w:t>6.5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16.0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7.5</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3" w:lineRule="exact"/>
              <w:rPr>
                <w:sz w:val="20"/>
                <w:szCs w:val="20"/>
                <w:color w:val="auto"/>
              </w:rPr>
            </w:pPr>
            <w:r>
              <w:rPr>
                <w:rFonts w:ascii="Arial" w:cs="Arial" w:eastAsia="Arial" w:hAnsi="Arial"/>
                <w:sz w:val="14"/>
                <w:szCs w:val="14"/>
                <w:color w:val="auto"/>
              </w:rPr>
              <w:t>N/A(c)</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Preferred stock dividend requirements</w:t>
            </w:r>
          </w:p>
        </w:tc>
        <w:tc>
          <w:tcPr>
            <w:tcW w:w="38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center"/>
              <w:ind w:left="232"/>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center"/>
              <w:ind w:left="12"/>
              <w:spacing w:after="0" w:line="143"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617</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249</w:t>
            </w:r>
          </w:p>
        </w:tc>
        <w:tc>
          <w:tcPr>
            <w:tcW w:w="26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4"/>
                <w:szCs w:val="14"/>
                <w:color w:val="auto"/>
                <w:w w:val="95"/>
              </w:rPr>
              <w:t>Ratio of earnings before provision for income taxes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200"/>
              <w:spacing w:after="0" w:line="159" w:lineRule="exact"/>
              <w:rPr>
                <w:sz w:val="20"/>
                <w:szCs w:val="20"/>
                <w:color w:val="auto"/>
              </w:rPr>
            </w:pPr>
            <w:r>
              <w:rPr>
                <w:rFonts w:ascii="Arial" w:cs="Arial" w:eastAsia="Arial" w:hAnsi="Arial"/>
                <w:sz w:val="14"/>
                <w:szCs w:val="14"/>
                <w:color w:val="auto"/>
              </w:rPr>
              <w:t>to earnings from continuing operations (d)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0.9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0.9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0.9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 factor on pre-tax basis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Fixed charges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1,416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1,291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1,795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1,110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985</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Total fixed charges and preferred stock dividend</w:t>
            </w:r>
          </w:p>
        </w:tc>
        <w:tc>
          <w:tcPr>
            <w:tcW w:w="2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requirements</w:t>
            </w:r>
          </w:p>
        </w:tc>
        <w:tc>
          <w:tcPr>
            <w:tcW w:w="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1,416</w:t>
            </w:r>
          </w:p>
        </w:tc>
        <w:tc>
          <w:tcPr>
            <w:tcW w:w="58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1,291</w:t>
            </w:r>
          </w:p>
        </w:tc>
        <w:tc>
          <w:tcPr>
            <w:tcW w:w="560" w:type="dxa"/>
            <w:vAlign w:val="bottom"/>
            <w:gridSpan w:val="2"/>
            <w:shd w:val="clear" w:color="auto" w:fill="CCEEFF"/>
          </w:tcPr>
          <w:p>
            <w:pPr>
              <w:jc w:val="center"/>
              <w:ind w:left="232"/>
              <w:spacing w:after="0" w:line="15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1,795</w:t>
            </w:r>
          </w:p>
        </w:tc>
        <w:tc>
          <w:tcPr>
            <w:tcW w:w="2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1,110</w:t>
            </w:r>
          </w:p>
        </w:tc>
        <w:tc>
          <w:tcPr>
            <w:tcW w:w="50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1,543</w:t>
            </w:r>
          </w:p>
        </w:tc>
        <w:tc>
          <w:tcPr>
            <w:tcW w:w="2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Ratio of earnings to combined fixed charges and</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ind w:left="200"/>
              <w:spacing w:after="0"/>
              <w:rPr>
                <w:sz w:val="20"/>
                <w:szCs w:val="20"/>
                <w:color w:val="auto"/>
              </w:rPr>
            </w:pPr>
            <w:r>
              <w:rPr>
                <w:rFonts w:ascii="Arial" w:cs="Arial" w:eastAsia="Arial" w:hAnsi="Arial"/>
                <w:sz w:val="14"/>
                <w:szCs w:val="14"/>
                <w:color w:val="auto"/>
              </w:rPr>
              <w:t>preferred stock dividend (d)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N/A(e)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interest on senior long-term debt, interest on preferred stock and amortization of deferred financing and issuance costs.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approximately one-third of rent expense deemed for this purpose to represent the interest component of rental payments.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Earnings were insufficient to cover fixed charges by $1,650 for the year ended December 31, 2005.</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Exl reported pre-tax losses for the year ended December 31, 2005; accordingly, the preferred dividend factor equal the preferred dividend requirements.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Earnings were insufficient to cover fixed charges and preferred dividends by $1,899 for the year ended December 31, 2005.</w:t>
      </w:r>
    </w:p>
    <w:p>
      <w:pPr>
        <w:sectPr>
          <w:pgSz w:w="11900" w:h="16838" w:orient="portrait"/>
          <w:cols w:equalWidth="0" w:num="1">
            <w:col w:w="11420"/>
          </w:cols>
          <w:pgMar w:left="240" w:top="10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consent to the reference to our firm under the caption “Experts” in this Amendment No. 1 to Registration Statement (Form S-3 No. 333-162335) and related Prospectus of ExlService Holdings, Inc. for the registration of common stock, preferred stock, debt securities, depository shares, warrants, rights, purchase contracts and units and to the incorporation by reference therein of our reports dated March 16, 2009, with respect to the consolidated financial statements of ExlService Holdings, Inc., and the effectiveness of internal control over financial reporting of ExlService Holdings, Inc., included in its Annual Report (Form 10-</w:t>
      </w:r>
    </w:p>
    <w:p>
      <w:pPr>
        <w:spacing w:after="0" w:line="3" w:lineRule="exact"/>
        <w:rPr>
          <w:sz w:val="20"/>
          <w:szCs w:val="20"/>
          <w:color w:val="auto"/>
        </w:rPr>
      </w:pPr>
    </w:p>
    <w:p>
      <w:pPr>
        <w:ind w:right="4720" w:firstLine="8"/>
        <w:spacing w:after="0" w:line="434" w:lineRule="auto"/>
        <w:tabs>
          <w:tab w:leader="none" w:pos="2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year ended December 31, 2008, filed with the Securities and Exchange Commission. /s/ Ernst &amp; Young 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2009</w:t>
      </w:r>
    </w:p>
    <w:p>
      <w:pPr>
        <w:sectPr>
          <w:pgSz w:w="11900" w:h="16838" w:orient="portrait"/>
          <w:cols w:equalWidth="0" w:num="1">
            <w:col w:w="11420"/>
          </w:cols>
          <w:pgMar w:left="240" w:top="125" w:right="2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10019-6064</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November 20,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No. 1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Registration Statement on Form S-3 (File No. 333-162335)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w:t>
      </w:r>
      <w:r>
        <w:rPr>
          <w:rFonts w:ascii="Arial" w:cs="Arial" w:eastAsia="Arial" w:hAnsi="Arial"/>
          <w:sz w:val="18"/>
          <w:szCs w:val="18"/>
          <w:i w:val="1"/>
          <w:iCs w:val="1"/>
          <w:u w:val="single" w:color="auto"/>
          <w:color w:val="auto"/>
        </w:rPr>
        <w:t>Registration Statement</w:t>
      </w:r>
      <w:r>
        <w:rPr>
          <w:rFonts w:ascii="Arial" w:cs="Arial" w:eastAsia="Arial" w:hAnsi="Arial"/>
          <w:sz w:val="18"/>
          <w:szCs w:val="18"/>
          <w:u w:val="single" w:color="auto"/>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On behalf of ExlService Holdings,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we submit in electronic form for filing the accompanying Amendment No. 1 to the Registration Statement on Form S-3 (</w:t>
      </w:r>
      <w:r>
        <w:rPr>
          <w:rFonts w:ascii="Arial" w:cs="Arial" w:eastAsia="Arial" w:hAnsi="Arial"/>
          <w:sz w:val="18"/>
          <w:szCs w:val="18"/>
          <w:i w:val="1"/>
          <w:iCs w:val="1"/>
          <w:color w:val="auto"/>
        </w:rPr>
        <w:t>“Amendment No. 1”</w:t>
      </w:r>
      <w:r>
        <w:rPr>
          <w:rFonts w:ascii="Arial" w:cs="Arial" w:eastAsia="Arial" w:hAnsi="Arial"/>
          <w:sz w:val="18"/>
          <w:szCs w:val="18"/>
          <w:color w:val="auto"/>
        </w:rPr>
        <w:t xml:space="preserve">) of the Company, together with Exhibits, marked to indicate changes from the Registration Statement as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October 5, 2009.</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Amendment No. 1 reflects the responses of the Company to comments received from the Staff of the Commission (the </w:t>
      </w:r>
      <w:r>
        <w:rPr>
          <w:rFonts w:ascii="Arial" w:cs="Arial" w:eastAsia="Arial" w:hAnsi="Arial"/>
          <w:sz w:val="18"/>
          <w:szCs w:val="18"/>
          <w:i w:val="1"/>
          <w:iCs w:val="1"/>
          <w:color w:val="auto"/>
        </w:rPr>
        <w:t>“Staff”</w:t>
      </w:r>
      <w:r>
        <w:rPr>
          <w:rFonts w:ascii="Arial" w:cs="Arial" w:eastAsia="Arial" w:hAnsi="Arial"/>
          <w:sz w:val="18"/>
          <w:szCs w:val="18"/>
          <w:color w:val="auto"/>
        </w:rPr>
        <w:t xml:space="preserve">) in a letter from H. Christopher Owings, dated October 21, 2009 (the </w:t>
      </w:r>
      <w:r>
        <w:rPr>
          <w:rFonts w:ascii="Arial" w:cs="Arial" w:eastAsia="Arial" w:hAnsi="Arial"/>
          <w:sz w:val="18"/>
          <w:szCs w:val="18"/>
          <w:i w:val="1"/>
          <w:iCs w:val="1"/>
          <w:color w:val="auto"/>
        </w:rPr>
        <w:t>“Comment Letter”</w:t>
      </w:r>
      <w:r>
        <w:rPr>
          <w:rFonts w:ascii="Arial" w:cs="Arial" w:eastAsia="Arial" w:hAnsi="Arial"/>
          <w:sz w:val="18"/>
          <w:szCs w:val="18"/>
          <w:color w:val="auto"/>
        </w:rPr>
        <w:t>). The discussion below is presented in the order of the numbered comments in the Comment Letter. Certain capitalized terms set forth in this letter are used as defined in Amendment No. 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ectPr>
          <w:pgSz w:w="11900" w:h="16838" w:orient="portrait"/>
          <w:cols w:equalWidth="0" w:num="1">
            <w:col w:w="11380"/>
          </w:cols>
          <w:pgMar w:left="240" w:top="131"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Cover Page</w:t>
      </w:r>
    </w:p>
    <w:p>
      <w:pPr>
        <w:spacing w:after="0" w:line="96" w:lineRule="exact"/>
        <w:rPr>
          <w:sz w:val="20"/>
          <w:szCs w:val="20"/>
          <w:color w:val="auto"/>
        </w:rPr>
      </w:pPr>
    </w:p>
    <w:p>
      <w:pPr>
        <w:ind w:left="900" w:right="100" w:hanging="446"/>
        <w:spacing w:after="0" w:line="268" w:lineRule="auto"/>
        <w:tabs>
          <w:tab w:leader="none" w:pos="90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that the company is offering up to an aggregate amount of $200,000,000 in securities, and that the selling shareholders are offering for resale up to 6,000,000 shares of common stock. See Item 501(b)(2) of Regulation 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revised the cover of the prospectus to address the Staff’s comment.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Stockholders, page 4</w:t>
      </w:r>
    </w:p>
    <w:p>
      <w:pPr>
        <w:spacing w:after="0" w:line="96" w:lineRule="exact"/>
        <w:rPr>
          <w:sz w:val="20"/>
          <w:szCs w:val="20"/>
          <w:color w:val="auto"/>
        </w:rPr>
      </w:pPr>
    </w:p>
    <w:p>
      <w:pPr>
        <w:ind w:left="900" w:right="220" w:hanging="446"/>
        <w:spacing w:after="0" w:line="255" w:lineRule="auto"/>
        <w:tabs>
          <w:tab w:leader="none" w:pos="9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expand your discussion to describe the terms of the initial transaction(s) relating to the resale shares, including the dates, the names of the purchasers, and the number of shares purchased in each transaction. Since the transaction(s) must be completed before you file a registration statement to resell those securities, please include in your description when the transaction(s) closed. See Rule 430B(b)(2) of Regulation C. Also briefly describe the material terms of any agreement(s) relating to these transactions, and file the related agreement(s) as an exhibit to your next amendment.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response to the Staff’s comment and in accordance with the requirements of Rule 430B(b)(2) of Regulation C, the Company has revised its disclosure to provide a more detailed description of the initial transactions relating to the resale shares. Specifically, the Company has disclosed that the resale shares consist of shares of common stock that were acquired in transactions completed in connection with the acquisition of the Company’s business from Conseco in 2002, shares of common stock that were issued in connection with a share split of our common stock completed prior to the completion of our initial public offering in 2006, shares of common stock acquired pursuant to our equity compensation plans to the extent such shares were received prior to October 5, 2009, the date of the initial filing of the Registration Statement with the SEC, and shares of common stock held by certain trusts affiliated with certain of our pre-IPO stockholders to the extent such trusts acquired such shares prior to October 5, 2009. See page 4 of the prospectus included in Amendment No. 1.</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Based on the language of Rule 430B(b) of Regulation C and General Instruction II.G of Form S-3 (“</w:t>
      </w:r>
      <w:r>
        <w:rPr>
          <w:rFonts w:ascii="Arial" w:cs="Arial" w:eastAsia="Arial" w:hAnsi="Arial"/>
          <w:sz w:val="16"/>
          <w:szCs w:val="16"/>
          <w:i w:val="1"/>
          <w:iCs w:val="1"/>
          <w:color w:val="auto"/>
        </w:rPr>
        <w:t>Instruction II.G</w:t>
      </w:r>
      <w:r>
        <w:rPr>
          <w:rFonts w:ascii="Arial" w:cs="Arial" w:eastAsia="Arial" w:hAnsi="Arial"/>
          <w:sz w:val="16"/>
          <w:szCs w:val="16"/>
          <w:color w:val="auto"/>
        </w:rPr>
        <w:t>”), the Company believes that it is not required to include the names of the purchasers in its disclosure. Both Rule 430B(b)(2)(iii) of Regulation C and Instruction II.G state that the Company is permitted to refer “to any unnamed selling security holders in a generic manner by identifying the initial offering transaction in which the securities were sold.” Furthermore, both Rule 430B of Regulation C (specifically subsections (d) and (h)) and Instruction II.G state that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8" w:name="page49"/>
    <w:bookmarkEnd w:id="48"/>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registrant chooses to omit disclosures regarding the identities of the selling stockholders and the amounts to be sold pursuant to Rule 430B(b) and Instruction II.G, respectively, then the registrant must disclose the omitted information in a prospectus filed pursuant to Rule 424(b)(7) of Regulation C, a post-effective amendment to registration statement or a Securities Exchange Act of 1934 (the “</w:t>
      </w:r>
      <w:r>
        <w:rPr>
          <w:rFonts w:ascii="Arial" w:cs="Arial" w:eastAsia="Arial" w:hAnsi="Arial"/>
          <w:sz w:val="16"/>
          <w:szCs w:val="16"/>
          <w:i w:val="1"/>
          <w:iCs w:val="1"/>
          <w:color w:val="auto"/>
        </w:rPr>
        <w:t>Exchange Act</w:t>
      </w:r>
      <w:r>
        <w:rPr>
          <w:rFonts w:ascii="Arial" w:cs="Arial" w:eastAsia="Arial" w:hAnsi="Arial"/>
          <w:sz w:val="16"/>
          <w:szCs w:val="16"/>
          <w:color w:val="auto"/>
        </w:rPr>
        <w:t>”) report incorporated by reference into the prospectus that is part of the registration statement, which Exchange Report is identified in a prospectus filed pursuant to Rule 424(b)(7) of Regulation C.</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based on the language of Rule 430B of Regulation C, Instruction II.G and Item 601(a) and (b) of Regulation S-K, the Company believes that it is not required to file the agreements related to the acquisition of the resale shares as an exhibit to the Registration Statement. The Company also notes that, based on Item 601 of Regulation S-K, such agreements are no longer required to be filed as exhibits to the Company’s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Debt Securities, page 9</w:t>
      </w:r>
    </w:p>
    <w:p>
      <w:pPr>
        <w:spacing w:after="0" w:line="96" w:lineRule="exact"/>
        <w:rPr>
          <w:sz w:val="20"/>
          <w:szCs w:val="20"/>
          <w:color w:val="auto"/>
        </w:rPr>
      </w:pPr>
    </w:p>
    <w:p>
      <w:pPr>
        <w:ind w:left="900" w:right="300" w:hanging="446"/>
        <w:spacing w:after="0" w:line="268" w:lineRule="auto"/>
        <w:tabs>
          <w:tab w:leader="none" w:pos="9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references on pages 9 and 15 that the debt may be guaranteed. Please clarify whether you intend to register the guarantees or delete these references.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3</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Company has revised the prospectus to delete the references noted in the Staff’s comment. See pages 9 and 15 of the prospectus included in Amendment No. 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Incorporation bv Reference, page 30</w:t>
      </w:r>
    </w:p>
    <w:p>
      <w:pPr>
        <w:spacing w:after="0" w:line="96" w:lineRule="exact"/>
        <w:rPr>
          <w:sz w:val="20"/>
          <w:szCs w:val="20"/>
          <w:color w:val="auto"/>
        </w:rPr>
      </w:pPr>
    </w:p>
    <w:p>
      <w:pPr>
        <w:ind w:left="900" w:right="60" w:hanging="446"/>
        <w:spacing w:after="0" w:line="256" w:lineRule="auto"/>
        <w:tabs>
          <w:tab w:leader="none" w:pos="90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include the Form 8-Ks filed on January 30, 2009 and on March 11, 2009. See Item 12(a)(3) of Form S-3. Also specifically incorporate by reference any other applicable Exchange Act report filed after the date of the initial registration statement, but prior to effectiveness. See Compliance and Disclosure Interpretations - Securities Act Forms (Question 123.05), available in the Corporation Finance section of our website.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revised the prospectus to address the Staff’s comment. See page 30 of the prospectus included in Amendment No. 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5.1 - Opinion of Paul, Weiss, Rifkind, Wharton &amp; Garrison LLP</w:t>
      </w:r>
    </w:p>
    <w:p>
      <w:pPr>
        <w:spacing w:after="0" w:line="9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Please clarify in the first paragraph that Paul, Weiss, Rifkind, Wharton &amp; Garrison LLP has acted as counsel to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5</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opinion of Paul, Weiss, Rifkind, Wharton &amp; Garrison LLP has been revised to address the Staff’s comment. A revised version of the opinion has been filed as Exhibit 5.1 to Amendment No. 1.</w:t>
      </w:r>
    </w:p>
    <w:p>
      <w:pPr>
        <w:spacing w:after="0" w:line="172" w:lineRule="exact"/>
        <w:rPr>
          <w:sz w:val="20"/>
          <w:szCs w:val="20"/>
          <w:color w:val="auto"/>
        </w:rPr>
      </w:pPr>
    </w:p>
    <w:p>
      <w:pPr>
        <w:ind w:left="900" w:right="40" w:hanging="446"/>
        <w:spacing w:after="0" w:line="259"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Page 4 of the opinion, in the paragraph numbered 4, states in part “such Company Depositary Shares will entitle the holders thereof to the rights specified in the Depositary Agreement.” Please revise to also state that the Company Depositary Shares will be valid and legally binding obligations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6</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opinion of Paul, Weiss, Rifkind, Wharton &amp; Garrison LLP has been revised to address the Staff’s comment. A revised version of the opinion has been filed as Exhibit 5.1 to Amendment No. 1.</w:t>
      </w:r>
    </w:p>
    <w:p>
      <w:pPr>
        <w:spacing w:after="0" w:line="172" w:lineRule="exact"/>
        <w:rPr>
          <w:sz w:val="20"/>
          <w:szCs w:val="20"/>
          <w:color w:val="auto"/>
        </w:rPr>
      </w:pPr>
    </w:p>
    <w:p>
      <w:pPr>
        <w:ind w:left="900" w:right="140" w:hanging="446"/>
        <w:spacing w:after="0" w:line="306" w:lineRule="auto"/>
        <w:tabs>
          <w:tab w:leader="none" w:pos="90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The reference to the Delaware General Corporation Law in the second to last paragraph should also include all applicable Delaware statutory provisions of law and the reported judicial decisions interpreting these laws. Please revise or have counsel confirm this supplementally and file this correspondence on EDGAR, as it will be a part of the Commission’s official file regarding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7</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Paul, Weiss, Rifkind, Wharton &amp; Garrison LLP hereby confirms that the reference to Delaware General Corporation Law in the second to last paragraph of the opinion includes all applicable Delaware statutory provisions of law and the reported judicial decisions interpreting these laws.</w:t>
      </w:r>
    </w:p>
    <w:p>
      <w:pPr>
        <w:spacing w:after="0" w:line="126" w:lineRule="exact"/>
        <w:rPr>
          <w:sz w:val="20"/>
          <w:szCs w:val="20"/>
          <w:color w:val="auto"/>
        </w:rPr>
      </w:pPr>
    </w:p>
    <w:p>
      <w:pPr>
        <w:jc w:val="both"/>
        <w:ind w:left="900" w:right="160" w:hanging="446"/>
        <w:spacing w:after="0" w:line="306" w:lineRule="auto"/>
        <w:tabs>
          <w:tab w:leader="none" w:pos="90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the language in the second to last paragraph, “Our opinion is rendered only with respect to the laws, and the rules, regulations and orders under those laws, that are currently in effect.” Please be advised that in order for you to become effective, it will be necessary for counsel to file an opinion dated as of the effective date. Alternatively, counsel should remove the limitations from the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8</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address the Staff’s comment, the opinion of Paul, Weiss, Rifkind, Wharton &amp; Garrison LLP has been revised to remove the limitations from the opinion.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revised version of the opinion has been filed as Exhibit 5.1 to Amendment No. 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0" w:name="page51"/>
    <w:bookmarkEnd w:id="50"/>
    <w:p>
      <w:pPr>
        <w:ind w:right="3440" w:firstLine="454"/>
        <w:spacing w:after="0" w:line="344" w:lineRule="auto"/>
        <w:tabs>
          <w:tab w:leader="none" w:pos="891"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opinion does not cover the shares being offered by selling shareholders. Please revise or advise. </w:t>
      </w:r>
      <w:r>
        <w:rPr>
          <w:rFonts w:ascii="Arial" w:cs="Arial" w:eastAsia="Arial" w:hAnsi="Arial"/>
          <w:sz w:val="18"/>
          <w:szCs w:val="18"/>
          <w:u w:val="single" w:color="auto"/>
          <w:color w:val="auto"/>
        </w:rPr>
        <w:t>Response to Comment 9</w:t>
      </w:r>
    </w:p>
    <w:p>
      <w:pPr>
        <w:spacing w:after="0" w:line="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opinion of Paul, Weiss, Rifkind, Wharton &amp; Garrison LLP has been revised to include the shares offered by selling shareholders to address the Staff’s comment. A revised version of the opinion has been filed as Exhibit 5.1 to Amendment No. 1.</w:t>
      </w:r>
    </w:p>
    <w:p>
      <w:pPr>
        <w:spacing w:after="0" w:line="172" w:lineRule="exact"/>
        <w:rPr>
          <w:sz w:val="20"/>
          <w:szCs w:val="20"/>
          <w:color w:val="auto"/>
        </w:rPr>
      </w:pPr>
    </w:p>
    <w:p>
      <w:pPr>
        <w:jc w:val="both"/>
        <w:ind w:left="900" w:right="120" w:hanging="446"/>
        <w:spacing w:after="0" w:line="259" w:lineRule="auto"/>
        <w:tabs>
          <w:tab w:leader="none" w:pos="9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Please confirm your understanding that an updated unqualified opinion of counsel should be filed with respect to the legality of the securities being offered by the company for each sale of the securities registered in this filing. See Compliance and Disclosure Interpretations - Securities Act Rules (Question 212.05), available in the Corporation Finance section of our website.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10</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confirms that an updated unqualified opinion of counsel will be filed with respect to the legality of the securities offered by the Company for each sale of the securities registered in this filing.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10-K for Fiscal Year Ended December 31, 2008</w:t>
      </w:r>
    </w:p>
    <w:p>
      <w:pPr>
        <w:spacing w:after="0" w:line="96" w:lineRule="exact"/>
        <w:rPr>
          <w:sz w:val="20"/>
          <w:szCs w:val="20"/>
          <w:color w:val="auto"/>
        </w:rPr>
      </w:pPr>
    </w:p>
    <w:p>
      <w:pPr>
        <w:ind w:left="900" w:right="100" w:hanging="446"/>
        <w:spacing w:after="0" w:line="332" w:lineRule="auto"/>
        <w:tabs>
          <w:tab w:leader="none" w:pos="90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You should comply with the following comments in all future filings, as applicable. Please confirm in writing that you will do so, and also explain to us in detail sufficient for an understanding of your disclosure how you intend to comply by providing us with your proposed revisions.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the Company’s responses to the Staff’s comments below.</w:t>
      </w:r>
    </w:p>
    <w:p>
      <w:pPr>
        <w:spacing w:after="0" w:line="246" w:lineRule="exact"/>
        <w:rPr>
          <w:sz w:val="20"/>
          <w:szCs w:val="20"/>
          <w:color w:val="auto"/>
        </w:rPr>
      </w:pPr>
    </w:p>
    <w:p>
      <w:pPr>
        <w:ind w:right="3500"/>
        <w:spacing w:after="0" w:line="347" w:lineRule="auto"/>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 page 36 Results of Operations, page 46</w:t>
      </w:r>
    </w:p>
    <w:p>
      <w:pPr>
        <w:spacing w:after="0" w:line="2" w:lineRule="exact"/>
        <w:rPr>
          <w:sz w:val="20"/>
          <w:szCs w:val="20"/>
          <w:color w:val="auto"/>
        </w:rPr>
      </w:pPr>
    </w:p>
    <w:p>
      <w:pPr>
        <w:ind w:left="900" w:right="40" w:hanging="446"/>
        <w:spacing w:after="0" w:line="268" w:lineRule="auto"/>
        <w:tabs>
          <w:tab w:leader="none" w:pos="90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Please describe the causes for the change in gross profit as a percentage of revenues for each year presented. See Item 303(a) of Regulation S-K and Financial Reporting Codification 501.04.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12</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will comply with the Staff’s comment in future filings as applicable. The Company has also included the following language in its Quarterly Report on Form 10-Q for the quarterly period ended September 30, 2009, which was filed on EDGAR on November 9, 2009, to address the Staff’s comment: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1" w:name="page52"/>
    <w:bookmarkEnd w:id="51"/>
    <w:p>
      <w:pPr>
        <w:jc w:val="both"/>
        <w:ind w:left="920" w:right="1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“Gross profit as a percentage of revenues increased from 37.0% for the nine months ended September 30, 2008 to 40.0% for the nine months ended September 30, 2009, primarily due to an improvement of 270 basis points as a result of a reduction in our salaries and personnel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 page 56</w:t>
      </w:r>
    </w:p>
    <w:p>
      <w:pPr>
        <w:spacing w:after="0" w:line="96" w:lineRule="exact"/>
        <w:rPr>
          <w:sz w:val="20"/>
          <w:szCs w:val="20"/>
          <w:color w:val="auto"/>
        </w:rPr>
      </w:pPr>
    </w:p>
    <w:p>
      <w:pPr>
        <w:ind w:left="900" w:right="20" w:hanging="446"/>
        <w:spacing w:after="0" w:line="254" w:lineRule="auto"/>
        <w:tabs>
          <w:tab w:leader="none" w:pos="9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We note in the last sentence of the first paragraph that your CEO and CFO have concluded that your disclosure controls and procedures were effective at a reasonable assurance level. However, you state in the first sentence of the same paragraph that you maintain disclosure controls and procedures that arc designed in accordance with the definition contained in Exchange Act Rules 13 a-15(e) and 15d-15(e). Please tell us why you have added the reasonable assurance language in the last sentence and repeated the definition contained in Exchange Act Rules 13a-15(e) and 15d-15(e). Alternatively, in future filings you may simply conclude that your disclosure controls and procedures are effective or ineffective, whichever the case may 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13</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will comply with the Staff’s comment in future filings as applicable to conclude that its disclosure controls and procedures are effective or ineffective, whichever the case may be, without including the “reasonable assurance” language. The Company’s Quarterly Report on Form 10-Q for the quarterly period ended September 30, 2009, which report was filed on EDGAR on November 9, 2009, contains the following disclosure to address the Staff’s comment:</w:t>
      </w:r>
    </w:p>
    <w:p>
      <w:pPr>
        <w:spacing w:after="0" w:line="26" w:lineRule="exact"/>
        <w:rPr>
          <w:sz w:val="20"/>
          <w:szCs w:val="20"/>
          <w:color w:val="auto"/>
        </w:rPr>
      </w:pPr>
    </w:p>
    <w:p>
      <w:pPr>
        <w:ind w:left="920" w:right="980"/>
        <w:spacing w:after="0" w:line="256" w:lineRule="auto"/>
        <w:rPr>
          <w:sz w:val="20"/>
          <w:szCs w:val="20"/>
          <w:color w:val="auto"/>
        </w:rPr>
      </w:pPr>
      <w:r>
        <w:rPr>
          <w:rFonts w:ascii="Arial" w:cs="Arial" w:eastAsia="Arial" w:hAnsi="Arial"/>
          <w:sz w:val="18"/>
          <w:szCs w:val="18"/>
          <w:color w:val="auto"/>
        </w:rPr>
        <w:t>“In connection with the preparation of this Quarterly Report on Form 10-Q, the Company’s management carried out an evaluation, under the supervision and with the participation of the CEO and CFO, of the effectiveness and operation of our disclosure controls and procedures as of September 30, 2009. Based upon that evaluation, the CEO and CFO have concluded that, as of September 30, 2009, our disclosure controls and procedures were effective.”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Annual Report on Internal Control over Financial Reporting, page 56</w:t>
      </w:r>
    </w:p>
    <w:p>
      <w:pPr>
        <w:spacing w:after="0" w:line="96" w:lineRule="exact"/>
        <w:rPr>
          <w:sz w:val="20"/>
          <w:szCs w:val="20"/>
          <w:color w:val="auto"/>
        </w:rPr>
      </w:pPr>
    </w:p>
    <w:p>
      <w:pPr>
        <w:ind w:left="900" w:right="180" w:hanging="446"/>
        <w:spacing w:after="0" w:line="259" w:lineRule="auto"/>
        <w:tabs>
          <w:tab w:leader="none" w:pos="90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 note that your Chief Executive Officer and Chief Financial Officer expressed their </w:t>
      </w:r>
      <w:r>
        <w:rPr>
          <w:rFonts w:ascii="Arial" w:cs="Arial" w:eastAsia="Arial" w:hAnsi="Arial"/>
          <w:sz w:val="18"/>
          <w:szCs w:val="18"/>
          <w:i w:val="1"/>
          <w:iCs w:val="1"/>
          <w:u w:val="single" w:color="auto"/>
          <w:color w:val="auto"/>
        </w:rPr>
        <w:t>belief</w:t>
      </w:r>
      <w:r>
        <w:rPr>
          <w:rFonts w:ascii="Arial" w:cs="Arial" w:eastAsia="Arial" w:hAnsi="Arial"/>
          <w:sz w:val="18"/>
          <w:szCs w:val="18"/>
          <w:i w:val="1"/>
          <w:iCs w:val="1"/>
          <w:color w:val="auto"/>
        </w:rPr>
        <w:t xml:space="preserve"> as to the effectiveness of your internal control over financial reporting. Please confirm, if true, that your Chief Executive Officer and Chief Financial Officer </w:t>
      </w:r>
      <w:r>
        <w:rPr>
          <w:rFonts w:ascii="Arial" w:cs="Arial" w:eastAsia="Arial" w:hAnsi="Arial"/>
          <w:sz w:val="18"/>
          <w:szCs w:val="18"/>
          <w:i w:val="1"/>
          <w:iCs w:val="1"/>
          <w:u w:val="single" w:color="auto"/>
          <w:color w:val="auto"/>
        </w:rPr>
        <w:t>concluded</w:t>
      </w:r>
      <w:r>
        <w:rPr>
          <w:rFonts w:ascii="Arial" w:cs="Arial" w:eastAsia="Arial" w:hAnsi="Arial"/>
          <w:sz w:val="18"/>
          <w:szCs w:val="18"/>
          <w:i w:val="1"/>
          <w:iCs w:val="1"/>
          <w:color w:val="auto"/>
        </w:rPr>
        <w:t xml:space="preserve"> that your internal control over financial reporting is effective.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14</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will comply with the Staff’s comment in future filings as applicable. The Company confirms that its Chief Executive Officer and Chief Financial Officer concluded that the Company’s internal control over financial reporting was effective as of December 31,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Balance Sheets, page 70</w:t>
      </w:r>
    </w:p>
    <w:p>
      <w:pPr>
        <w:spacing w:after="0" w:line="96"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disclose shares held in treasury as outstanding shares. Please revise or advise.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15</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Treasury stock represents shares of the Company’s stock acquired for purposes other than retirement or when ultimate disposition has not yet been decided. As per ASC 505-30-45-1, the Company has disclosed the shares of treasury stock shown on its balance sheet as a reduction from the Company’s aggregate outstanding shares of capital stock. The Company has included in its previous filings, and will include in its future filings, as applicable, in the note to its consolidated financial statements titled “Capital Structure” a discussion of events during the applicable period that have resulted in increases or decreases in the number of shares of the Company’s stock held in treasury.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 page 74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 page 74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 and Restricted Cash, page 75</w:t>
      </w:r>
    </w:p>
    <w:p>
      <w:pPr>
        <w:spacing w:after="0" w:line="96" w:lineRule="exact"/>
        <w:rPr>
          <w:sz w:val="20"/>
          <w:szCs w:val="20"/>
          <w:color w:val="auto"/>
        </w:rPr>
      </w:pPr>
    </w:p>
    <w:p>
      <w:pPr>
        <w:ind w:left="900" w:hanging="446"/>
        <w:spacing w:after="0" w:line="294" w:lineRule="auto"/>
        <w:tabs>
          <w:tab w:leader="none" w:pos="90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It appears that investments classified as cash equivalents may exceed 40% of consolidated assets. Please explain to us whether you are an investment company under Section 3(a)(1)(C) of the Investment Company Act of 1940 and how you made the determination. Please tell us the value of “investment securities” as defined in Section 3(a)(2) of the Investment Company Act and the amounts of total assets for each entity included in your consolidated financial statements on an unconsolidated basis as of December 31, 2008. If you are an investment company under Section 3(a)(1)(C), please explain to us how you are in compliance with the Investment Company Act. For example,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3" w:name="page54"/>
    <w:bookmarkEnd w:id="53"/>
    <w:p>
      <w:pPr>
        <w:ind w:left="9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explain in detail whether you can rely on Rule 3a-1 of the Investment Company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is not, and has not been, an investment company under the Investment Company Act of 1940 (the “</w:t>
      </w:r>
      <w:r>
        <w:rPr>
          <w:rFonts w:ascii="Arial" w:cs="Arial" w:eastAsia="Arial" w:hAnsi="Arial"/>
          <w:sz w:val="16"/>
          <w:szCs w:val="16"/>
          <w:i w:val="1"/>
          <w:iCs w:val="1"/>
          <w:color w:val="auto"/>
        </w:rPr>
        <w:t>Investment Company Act</w:t>
      </w:r>
      <w:r>
        <w:rPr>
          <w:rFonts w:ascii="Arial" w:cs="Arial" w:eastAsia="Arial" w:hAnsi="Arial"/>
          <w:sz w:val="16"/>
          <w:szCs w:val="16"/>
          <w:color w:val="auto"/>
        </w:rPr>
        <w:t>”). Since its founding, the Company has never held itself out as being in the business of investing, reinvesting, owning, holding or trading in securities. The Company is a leading provider of outsourcing and transformation services, servicing predominantly U.S.-based and U.K.-based clients from its service centers and facilities in India, the Philippines, the United Kingdom, the United States and the Czech Republic. As of December 31, 2008, the Company had approximately 9,500 employees worldwide. As of November 6, 2009, the Company had a market capitalization of approximately $491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3(a)(1)(C) of the Investment Company Act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Section 3(a)(1)(C) of the Investment Company Act provides that an issuer that “is engaged or proposes to engage in the business of investing, reinvesting, owning, holding, or trading in securities, and owns or proposes to acquire investment securities having a value exceeding 40% of the value of such issuer’s total assets (exclusive of Government securities and cash items) on an unconsolidated basis” is considered an investment company for purposes of the Investment Company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Owned by the Company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noted in the Staff’s review, the Company’s consolidated cash and cash equivalents and total assets on a consolidated basis as of December 31, 2008 were $112,174,054 and $211,968,692, respectively. Of that cash and cash equivalents amount, $17,872,017 is cash held in checking or other similar demand accounts, $78,911,151 is held in the form of shares of one or more registered investment companies that hold themselves out as money market funds and that seek to maintain a stable net asset value of $1.00 per share and $15,390,886 is held in the form of mutual fund investments.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Although the term “cash items” is not defined in the Investment Company Act, cash in the form of bank deposits is generally considered a cash item. See </w:t>
      </w:r>
      <w:r>
        <w:rPr>
          <w:rFonts w:ascii="Arial" w:cs="Arial" w:eastAsia="Arial" w:hAnsi="Arial"/>
          <w:sz w:val="16"/>
          <w:szCs w:val="16"/>
          <w:u w:val="single" w:color="auto"/>
          <w:color w:val="auto"/>
        </w:rPr>
        <w:t>Certain Prima Facie Investment Companies</w:t>
      </w:r>
      <w:r>
        <w:rPr>
          <w:rFonts w:ascii="Arial" w:cs="Arial" w:eastAsia="Arial" w:hAnsi="Arial"/>
          <w:sz w:val="16"/>
          <w:szCs w:val="16"/>
          <w:color w:val="auto"/>
        </w:rPr>
        <w:t xml:space="preserve">, IC-10937, n. 29 (November 13, 1979) and </w:t>
      </w:r>
      <w:r>
        <w:rPr>
          <w:rFonts w:ascii="Arial" w:cs="Arial" w:eastAsia="Arial" w:hAnsi="Arial"/>
          <w:sz w:val="16"/>
          <w:szCs w:val="16"/>
          <w:u w:val="single" w:color="auto"/>
          <w:color w:val="auto"/>
        </w:rPr>
        <w:t>SEC v. National Presto Indus., Inc.</w:t>
      </w:r>
      <w:r>
        <w:rPr>
          <w:rFonts w:ascii="Arial" w:cs="Arial" w:eastAsia="Arial" w:hAnsi="Arial"/>
          <w:sz w:val="16"/>
          <w:szCs w:val="16"/>
          <w:color w:val="auto"/>
        </w:rPr>
        <w:t xml:space="preserve">, 486 F.3d 305, 317 (7th Cir. 2007). In addition, the Staff has stated that it does not object to an issuer excluding from its calculations pursuant to Section 3(a)(1)(C) of the Investment Company Act shares of a registered investment company that holds itself out as a money market fund and seeks to maintain a stable net asset value of $1.00 per share provided that the issuer is not primarily engaged in the business of investing, reinvesting or trading in securities. See </w:t>
      </w:r>
      <w:r>
        <w:rPr>
          <w:rFonts w:ascii="Arial" w:cs="Arial" w:eastAsia="Arial" w:hAnsi="Arial"/>
          <w:sz w:val="16"/>
          <w:szCs w:val="16"/>
          <w:u w:val="single" w:color="auto"/>
          <w:color w:val="auto"/>
        </w:rPr>
        <w:t>Willkie Farr &amp; Gallagher</w:t>
      </w:r>
      <w:r>
        <w:rPr>
          <w:rFonts w:ascii="Arial" w:cs="Arial" w:eastAsia="Arial" w:hAnsi="Arial"/>
          <w:sz w:val="16"/>
          <w:szCs w:val="16"/>
          <w:color w:val="auto"/>
        </w:rPr>
        <w:t>, SEC No-Action Letter [2000-2001 Transfer Binder] Fed. Sec. L. Rep. (CCH) ¶ 78011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54" w:name="page55"/>
    <w:bookmarkEnd w:id="54"/>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(September 27, 2000); see also Tamar Frankel and Ann Taylor Schwing, </w:t>
      </w:r>
      <w:r>
        <w:rPr>
          <w:rFonts w:ascii="Arial" w:cs="Arial" w:eastAsia="Arial" w:hAnsi="Arial"/>
          <w:sz w:val="16"/>
          <w:szCs w:val="16"/>
          <w:u w:val="single" w:color="auto"/>
          <w:color w:val="auto"/>
        </w:rPr>
        <w:t>The Regulation of Money Managers: Mutual Funds and Advisors</w:t>
      </w:r>
      <w:r>
        <w:rPr>
          <w:rFonts w:ascii="Arial" w:cs="Arial" w:eastAsia="Arial" w:hAnsi="Arial"/>
          <w:sz w:val="16"/>
          <w:szCs w:val="16"/>
          <w:color w:val="auto"/>
        </w:rPr>
        <w:t>, Second Edition, §5.03[C], n. 207. Based on this guidance and the discussion below regarding the business in which the Company is primarily engaged, the Company believes that of the $112,174,054 in cash and cash equivalents held by the Company on a consolidated basis as of December 31, 2008, only the $15,390,886 that is held in mutual fund investments would be counted as investment securities for purposes of Section 3(a)(1)(C) of the Investment Company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Company’s entire $15,390,886 mutual fund portfolio is held by its indirect wholly-owned subsidiary exlService.com (India) Private Limited, an Indian entity (“</w:t>
      </w:r>
      <w:r>
        <w:rPr>
          <w:rFonts w:ascii="Arial" w:cs="Arial" w:eastAsia="Arial" w:hAnsi="Arial"/>
          <w:sz w:val="18"/>
          <w:szCs w:val="18"/>
          <w:i w:val="1"/>
          <w:iCs w:val="1"/>
          <w:color w:val="auto"/>
        </w:rPr>
        <w:t>Exl India</w:t>
      </w:r>
      <w:r>
        <w:rPr>
          <w:rFonts w:ascii="Arial" w:cs="Arial" w:eastAsia="Arial" w:hAnsi="Arial"/>
          <w:sz w:val="18"/>
          <w:szCs w:val="18"/>
          <w:color w:val="auto"/>
        </w:rPr>
        <w:t>”). Exl India is directly and wholly owned by ExlService.com, Inc., a Delaware corporation (“</w:t>
      </w:r>
      <w:r>
        <w:rPr>
          <w:rFonts w:ascii="Arial" w:cs="Arial" w:eastAsia="Arial" w:hAnsi="Arial"/>
          <w:sz w:val="18"/>
          <w:szCs w:val="18"/>
          <w:i w:val="1"/>
          <w:iCs w:val="1"/>
          <w:color w:val="auto"/>
        </w:rPr>
        <w:t>Exl Inc.</w:t>
      </w:r>
      <w:r>
        <w:rPr>
          <w:rFonts w:ascii="Arial" w:cs="Arial" w:eastAsia="Arial" w:hAnsi="Arial"/>
          <w:sz w:val="18"/>
          <w:szCs w:val="18"/>
          <w:color w:val="auto"/>
        </w:rPr>
        <w:t>”), which is directly and wholly owned by ExlService Holdings, Inc.</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Other than the mutual fund portfolio held by Exl India, none of the direct or indirect subsidiaries of ExlService Holdings, Inc. holds any investment securities as defined in Section 3(a)(2) of the Investment Company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exlService.com (India) Private Limited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believes that Exl India is not an investment company pursuant to Section 3(a)(1)(C) of the Investment Company Act. On a book basis, Exl India had $15,390,886 in mutual fund investments, $3,059,466 in cash and $61,417,300 in total assets as of December 31, 2008 on an unconsolidated basis. Exl India is the Company’s primary operating subsidiary, employs approximately 93% of the Company’s employees and owns or leases the Company’s operations centers in India. Exl India’s assets consist primarily of property and equipment, client contracts, real estate, leases, computer and telecommunications equipment, office equipment, furniture, cash and investments, inter-company balances generated in the ordinary course of the Company’s business, deposits held by the Indian government in respect of ongoing tax audits of Exl India (such audits are discussed on pages 24 and 29 of the Company’s Annual Report on Form 10-K for the year ended December 31, 2008) and other current and non-current assets. The Company believes that none of Exl India’s assets other than the $15,390,886 in mutual fund investments are investment securities.</w:t>
      </w:r>
    </w:p>
    <w:p>
      <w:pPr>
        <w:spacing w:after="0" w:line="118"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The Company believes that the fair value of the assets of Exl India (excluding investment securities and cash) is significantly in excess of $43 million. Being conservative and assuming that the book value of Exl India’s assets is their fair value, the value of Exl India’s investment securities equals approximately 26.37% of the entity’s total assets (excluding cash items) on an unconsolidated basis. As a result, Exl India is not an investment company pursuant to Section 3(a)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(1)(C) of the Investment Company 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Analysis of ExlService.com, Inc. and ExlService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believes that neither Exl Inc. nor the Company is an investment company pursuant to Section 3(a)(1)(C) of the Investment Company Act.</w:t>
      </w:r>
    </w:p>
    <w:p>
      <w:pPr>
        <w:spacing w:after="0" w:line="19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Exl Inc. is a holding company whose assets consist primarily of investments in wholly-owned subsidiaries, employment agreements with the Company’s U.S. employees, cash and cash equivalents, inter-company balances generated in the ordinary course of the Company’s business, deposits held by the Indian government in respect of ongoing tax audits of Exl Inc. (such audits are discussed on pages 24 and 29 of the Company’s Annual Report on Form 10-K for the year ended December 31, 2008) and other current and non-current assets.</w:t>
      </w:r>
    </w:p>
    <w:p>
      <w:pPr>
        <w:spacing w:after="0" w:line="11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ExlService Holdings, Inc. is a holding company whose assets consist primarily of cash and cash equivalents, investments in wholly-owned subsidiaries, client contracts, intellectual property, inter-company balances generated in the ordinary course of the Company’s business and other current and non-current assets.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noted above, the Company believes that all of the cash equivalents held by Exl Inc. and ExlService Holdings, Inc. are cash items for purposes of Section 3(a)(1)(C) of the Investment Company Act and that neither Exl Inc. nor ExlService Holdings, Inc. own any assets that are investments securities. As a result, the Company believes that neither Exl Inc. nor ExlService Holdings, Inc. is an investment company pursuant to Section 3(a)(1)(C) of the Investment Company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Primary Business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The Company is primarily engaged in a business other than investing, reinvesting or trading in securities. With regard to the Investment Company Act, the determination of an issuer’s primary engagement is based on a review of five factors: the issuer’s historical development, its public representations of policy, the activities of its officers and directors, the nature of its present assets and the sources of its present income. See </w:t>
      </w:r>
      <w:r>
        <w:rPr>
          <w:rFonts w:ascii="Arial" w:cs="Arial" w:eastAsia="Arial" w:hAnsi="Arial"/>
          <w:sz w:val="16"/>
          <w:szCs w:val="16"/>
          <w:u w:val="single" w:color="auto"/>
          <w:color w:val="auto"/>
        </w:rPr>
        <w:t>In the Matter of the Tonopah Mining Company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Nevada</w:t>
      </w:r>
      <w:r>
        <w:rPr>
          <w:rFonts w:ascii="Arial" w:cs="Arial" w:eastAsia="Arial" w:hAnsi="Arial"/>
          <w:sz w:val="16"/>
          <w:szCs w:val="16"/>
          <w:color w:val="auto"/>
        </w:rPr>
        <w:t xml:space="preserve">, 26 S.E.C. 426 (July 22, 1947), </w:t>
      </w:r>
      <w:r>
        <w:rPr>
          <w:rFonts w:ascii="Arial" w:cs="Arial" w:eastAsia="Arial" w:hAnsi="Arial"/>
          <w:sz w:val="16"/>
          <w:szCs w:val="16"/>
          <w:u w:val="single" w:color="auto"/>
          <w:color w:val="auto"/>
        </w:rPr>
        <w:t>SEC v. Fifth Avenue Coach Lines, Inc.</w:t>
      </w:r>
      <w:r>
        <w:rPr>
          <w:rFonts w:ascii="Arial" w:cs="Arial" w:eastAsia="Arial" w:hAnsi="Arial"/>
          <w:sz w:val="16"/>
          <w:szCs w:val="16"/>
          <w:color w:val="auto"/>
        </w:rPr>
        <w:t xml:space="preserve">, 289 F. Supp. 3 (S.D.N.Y. 1968), affirmed, 435 F.2d 510 (2nd Cir. 1970) and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v. National Presto Industries, Inc.</w:t>
      </w:r>
      <w:r>
        <w:rPr>
          <w:rFonts w:ascii="Arial" w:cs="Arial" w:eastAsia="Arial" w:hAnsi="Arial"/>
          <w:sz w:val="16"/>
          <w:szCs w:val="16"/>
          <w:color w:val="auto"/>
        </w:rPr>
        <w:t>, 486 F.3d 305 (7th Cir. 2007).</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stated above, the Company, a Delaware corporation, is a leading provider of outsourcing and transformation services. The Company’s predecessor, ExlService.com, Inc., was founded in 1999 and was acquired in August 2001 by Conseco Inc. and operated as Conseco Inc.’s wholly-owned subsidiary and in-house business processing service provider. In November 2002, the Company was formed by a group of the Company’s senior executives, including Vikram Talwar, the Company’s current Executive Chairman, and Rohit Kapoor, the Company’s current President and Chief Executive Officer, and investment funds affiliated with Oak Hill Capital Partners and FTVentures. On November 14, 2002, the Company acquired ExlService.com, Inc. from</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8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Conseco Inc. As a result of the acquisition, ExlService.com, Inc. and its subsidiaries became wholly-owned subsidiaries of the Company.</w:t>
      </w:r>
    </w:p>
    <w:p>
      <w:pPr>
        <w:spacing w:after="0" w:line="17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Since the formation of its predecessor, the Company has continuously operated as a provider of offshore business process outsourcing and transformation services and at no time has the Company held itself out as being in the business of investing, reinvesting, owning, holding or trading in securities. The Company’s transformation service offerings were significantly enhanced after its July 1, 2006 acquisition of Inductis Inc., a leading provider of transformation services, and its subsidiaries. Transformation services include decision analytics, risk and financial management and operations and process excellence services. The Company’s transformation services help clients improve their operating environments through cost reduction, enhanced efficiency and productivity initiatives, and improve the risk and control environments within the clients’ operations, whether or not they are outsourced to the Company. In October 2006, the Company completed its initial public offering of its common stock and initiated the ongoing listing of its common stock on the Nasdaq Global Select Market. At all times during the Company’s existence the Company has presented itself to the public and to investors (including on its web site, in its periodic and current reports filed with the SEC, in its annual reports to stockholders and in its press releases and other public statements and announcements) as an operating company.</w:t>
      </w:r>
    </w:p>
    <w:p>
      <w:pPr>
        <w:spacing w:after="0" w:line="10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With regard to the activities of the Company’s directors and officers that relate to the Company, the Company estimates that almost 100% of such persons’ time is spent managing the Company’s outsourcing and transformation services.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With regard to the nature of the Company’s assets, as discussed above, based on the historical guidance of the Staff, as of December 31, 2008 and September 30, 2009, investment securities constituted approximately 13.36% and 8.05%, respectively, of the Company’s total assets on a consolidated basis (excluding cash items). The remaining assets of the Company consist of operating assets used in connection with the Company’s business. The Staff noted that the Company retains a significant amount of cash and cash equivalents. The Company uses its cash for two different purposes. First, the Company’s strategy includes completing acquisitions and expanding its operations through significant capital expenditures. Cash and cash equivalents are used or will be used to fund such acquisitions and capital expenditures. These include the Company’s acquisition of Schneider Logistics Europe S.R.O. on July 3, 2009 and the Company’s recently announced proposed acquisition of the operations of the American Express Global Travel Service Center, a business unit of American Express located in Gurgaon, India, that provides the travel-related business process outsourcing services of American Express. Second, the Company believes that in the current economic environment, its cash balance is especially critical to growing its business and attracting new clients. When the Company attracts a new client, the Company is often required to incur significant upfront costs to provide facilities, staffing and equipment to provide services to the client prior to receiving significant payment for such services. As a result, the Company emphasizes its strong cash position as a significant selling point to its potential clients to show that it can adequately meet the client’s needs under an engagement.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57" w:name="page58"/>
    <w:bookmarkEnd w:id="57"/>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regard to the sources of the Company’s present income, during the year ended December 31, 2008, the Company generated total revenues from its operating business and net income of approximately $181.7 million and $14.4 million, whereas during the same period it received interest and other income of approximately $3.5 million, which amount includes approximately $2.8 million of income from the Company’s demand deposit and money market fund holdings, which holdings the Company believes are cash items for purposes of the Investment Company Act. Similarly, during the nine month period ended September 30, 2009, the Company generated total revenues and net income of approximately $131.6 million and $4.0 million, respectively, whereas during the same period it received interest and dividend income of approximately $0.9 million, which amount includes approximately $0.7 million of income from the Company’s demand deposit and money market fund holdings, which holdings the Company believes are cash items for purposes of the Investment Company Act.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90"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Based on the above analysis, the Company believes it is not an investment company under the Investment Company Act. In addition, in response to the Staff’s comment, the Company believes that it would satisfy the conditions for the exemption provided under Rule 3a-1 under the Investment Company Act.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78</w:t>
      </w:r>
    </w:p>
    <w:p>
      <w:pPr>
        <w:spacing w:after="0" w:line="96"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the amount of unbilled accrued revenues at each balance sheet date. Refer to Rule 5-02(3)(c)(2) of Regulation S-X.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17</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will comply with the Staff’s comment in future filings as applicable. In accordance with Rule 5-02(3)(c)(2) of Regulation S-X, the Company will, where applicable in its future filings, disclose the amount of unbilled accrued revenues at each applicable balance sheet date in Note 2 on “Summary of Significant Accounting Policies—Revenue Recognition” (or a substantially similar note) to its consolidated financial statements. The amount of unbilled accrued revenues as of December 31, 2008 was $1,292,138.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 page 81</w:t>
      </w:r>
    </w:p>
    <w:p>
      <w:pPr>
        <w:spacing w:after="0" w:line="96" w:lineRule="exact"/>
        <w:rPr>
          <w:sz w:val="20"/>
          <w:szCs w:val="20"/>
          <w:color w:val="auto"/>
        </w:rPr>
      </w:pPr>
    </w:p>
    <w:p>
      <w:pPr>
        <w:ind w:left="900" w:right="60" w:hanging="446"/>
        <w:spacing w:after="0" w:line="298" w:lineRule="auto"/>
        <w:tabs>
          <w:tab w:leader="none" w:pos="90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Please tell us how you treat vested restricted stock and restricted stock unit awards in basic earnings per share computations. Refer to paragraph 10 of SFAS 128. In addition, we note your disclosure in Note 11 regarding dividend rights of restricted stock. Please include a discussion of the applicability of the two class method for financial statements issued after the effective date of FSP EITF 03-6-1. Finally, please revise your disclosure in Note 11 to clearly describe the dividend rights of vested and unvested restricted stock and restricted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58" w:name="page59"/>
    <w:bookmarkEnd w:id="58"/>
    <w:p>
      <w:pPr>
        <w:ind w:left="9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unit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18</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shares of common stock underlying the Company’s shares of restricted stock are not issued until the applicable restriction lapses and such shares of restricted stock are subject to forfeiture if such restrictions do not lapse. As a result, the Company does not include shares of common stock underlying any shares of restricted stock in the statements of stockholders’ equity until the applicable restrictions have lapsed, which is when the restricted stock vests. On vesting, the shares of common stock underlying the applicable shares of restricted stock are issued to the holders and are included in the outstanding common stock, which is also used to compute the basic earnings per share in accordance with paragraph 10 of SFAS 128.</w:t>
      </w:r>
    </w:p>
    <w:p>
      <w:pPr>
        <w:spacing w:after="0" w:line="116" w:lineRule="exact"/>
        <w:rPr>
          <w:sz w:val="20"/>
          <w:szCs w:val="20"/>
          <w:color w:val="auto"/>
        </w:rPr>
      </w:pPr>
    </w:p>
    <w:p>
      <w:pPr>
        <w:ind w:right="400" w:firstLine="456"/>
        <w:spacing w:after="0" w:line="286" w:lineRule="auto"/>
        <w:rPr>
          <w:sz w:val="20"/>
          <w:szCs w:val="20"/>
          <w:color w:val="auto"/>
        </w:rPr>
      </w:pPr>
      <w:r>
        <w:rPr>
          <w:rFonts w:ascii="Arial" w:cs="Arial" w:eastAsia="Arial" w:hAnsi="Arial"/>
          <w:sz w:val="16"/>
          <w:szCs w:val="16"/>
          <w:color w:val="auto"/>
        </w:rPr>
        <w:t>The Company has historically granted restricted stock units (“RSUs”) to its independent directors. Under the terms of such RSU grants, one hundred percent of the RSU credited to the recipient director’s account vest and become non-forfeitable on the earlier of (A) the first anniversary of the date of grant,</w:t>
      </w:r>
    </w:p>
    <w:p>
      <w:pPr>
        <w:ind w:right="80" w:firstLine="8"/>
        <w:spacing w:after="0" w:line="254" w:lineRule="auto"/>
        <w:tabs>
          <w:tab w:leader="none" w:pos="2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which the recipient’s term as a member of the Company’s board of directors expires if the recipient is not subsequently elected to a new term on the Company’s board of directors and (C) a change in control of the Company. Accordingly, the Company’s RSUs issued to date contain non-forfeitable rights to dividends or dividend equivalents upon vesting and are therefore after vesting considered participating securities for purposes of earnings per share calculations pursuant to the two-class method.</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will include disclosure substantially similar to the above in its future filings, as applicable. Application of this treatment had an insignificant effect on the Company’s historical earnings per share calculations as the number of vested RSUs was 40,000 and 48,000 as of December 31, 2008 and September 30, 2009,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 page 91</w:t>
      </w:r>
    </w:p>
    <w:p>
      <w:pPr>
        <w:spacing w:after="0" w:line="96" w:lineRule="exact"/>
        <w:rPr>
          <w:sz w:val="20"/>
          <w:szCs w:val="20"/>
          <w:color w:val="auto"/>
        </w:rPr>
      </w:pPr>
    </w:p>
    <w:p>
      <w:pPr>
        <w:ind w:left="900" w:hanging="446"/>
        <w:spacing w:after="0" w:line="298" w:lineRule="auto"/>
        <w:tabs>
          <w:tab w:leader="none" w:pos="90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We understand that the deferred tax benefit line item in the income tax reconciliation table on page 94 represents the net unrecognized deferred income tax expense for each year related to temporary differences that are expected to reverse during tax holiday periods. Please confirm whether or not our understanding is correct. If our understanding is not correct, please tell us what the line item represents. Also, please explain to us why there is no reconciling amount for the current fiscal year. In addition, explain to us why the reversal of bad debt reserve is a reconciling item.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19</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deferred tax benefit line in the income tax reconciliation table represents the aggregate of (i) changes in the valuation allowance for unrecognized deferred income tax expense for each year related to temporary differences that are expected to reverse during the tax holiday period and (ii) changes in tax credit carry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forwards. Tax credit carry forwards represent minimum alternate tax payments pursuant to the Indian Income Tax Act and are recognized as a deferred tax asset.</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regard to the fourth sentence of the Staff’s comment, a reconciling amount of $193,810 related to the “deferred tax benefit” line item for the year ended December 31, 2008 is included in the “Impact of tax holiday” line item. The Company believes that the tax credit carry forward is recognized since certain units of the Company’s Indian subsidiaries qualified for exemption from taxable income and the tax credit carry forward for such units should be included in the “Impact of tax holiday” line item. To address the Staff’s comment, the Company’s disclosures regarding the year ended December 31, 2008 will be revised in its future filings, as applicable, to clarify these line items.</w:t>
      </w:r>
    </w:p>
    <w:p>
      <w:pPr>
        <w:spacing w:after="0" w:line="14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reversal of bad debts reserve is considered as a reconciling item as this relates to the bad debts reserve in the books of Inductis Inc., prior to its acquisition by ExlService Holdings, Inc. When this reserve is reversed, it results in a permanent difference and hence is part of the reconciliation.</w:t>
      </w:r>
    </w:p>
    <w:p>
      <w:pPr>
        <w:spacing w:after="0" w:line="126" w:lineRule="exact"/>
        <w:rPr>
          <w:sz w:val="20"/>
          <w:szCs w:val="20"/>
          <w:color w:val="auto"/>
        </w:rPr>
      </w:pPr>
    </w:p>
    <w:p>
      <w:pPr>
        <w:ind w:left="900" w:right="400" w:hanging="446"/>
        <w:spacing w:after="0" w:line="268" w:lineRule="auto"/>
        <w:tabs>
          <w:tab w:leader="none" w:pos="9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us with a reconciliation of deferred income tax benefits relating to continuing operations disclosed in the table on page 92 to the amounts disclosed in the consolidated statements of cash flow for each year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20</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To address the Staff’s comment, set forth below is a reconciliation of deferred income tax benefits relating to continuing operations disclosed in the table in Note 10 on “Income Taxes” to the consolidated financial statements included in the Company’s Annual Report on Form 10-K for the year ended December 31, 2008 to the amounts disclosed in the consolidated statements of cash flow for each year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020" w:type="dxa"/>
            <w:vAlign w:val="bottom"/>
            <w:gridSpan w:val="2"/>
          </w:tcPr>
          <w:p>
            <w:pPr>
              <w:jc w:val="center"/>
              <w:ind w:left="77"/>
              <w:spacing w:after="0" w:line="142" w:lineRule="exact"/>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2"/>
                <w:szCs w:val="12"/>
                <w:color w:val="auto"/>
              </w:rPr>
            </w:pPr>
          </w:p>
        </w:tc>
        <w:tc>
          <w:tcPr>
            <w:tcW w:w="88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7"/>
              </w:rPr>
              <w:t>Amounts in USD</w:t>
            </w:r>
          </w:p>
        </w:tc>
        <w:tc>
          <w:tcPr>
            <w:tcW w:w="3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benefits as per statements of cash flow</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(627,052)</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$(2,836,801)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$(2,140,183)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3"/>
              </w:rPr>
              <w:t>Less: Adjustments related to discontinued operations and included in “Net cash provided by operating</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activities – discontinued operations” in the consolidated statements of cash flow(a)</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2"/>
              <w:spacing w:after="0"/>
              <w:rPr>
                <w:sz w:val="20"/>
                <w:szCs w:val="20"/>
                <w:color w:val="auto"/>
              </w:rPr>
            </w:pPr>
            <w:r>
              <w:rPr>
                <w:rFonts w:ascii="Arial" w:cs="Arial" w:eastAsia="Arial" w:hAnsi="Arial"/>
                <w:sz w:val="18"/>
                <w:szCs w:val="18"/>
                <w:color w:val="auto"/>
                <w:w w:val="89"/>
              </w:rPr>
              <w:t>(1,437,445)</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(926,405)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benefits as per Note 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9"/>
              </w:rPr>
              <w:t>(2,064,497)</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$(3,763,206)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$(2,140,183)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August 11, 2008, the Company completed the sale of all of its shares of Noida Customer Operations Private Limited (“</w:t>
      </w:r>
      <w:r>
        <w:rPr>
          <w:rFonts w:ascii="Arial" w:cs="Arial" w:eastAsia="Arial" w:hAnsi="Arial"/>
          <w:sz w:val="18"/>
          <w:szCs w:val="18"/>
          <w:i w:val="1"/>
          <w:iCs w:val="1"/>
          <w:color w:val="auto"/>
        </w:rPr>
        <w:t>NCOP</w:t>
      </w:r>
      <w:r>
        <w:rPr>
          <w:rFonts w:ascii="Arial" w:cs="Arial" w:eastAsia="Arial" w:hAnsi="Arial"/>
          <w:sz w:val="18"/>
          <w:szCs w:val="18"/>
          <w:color w:val="auto"/>
        </w:rPr>
        <w:t>”), which was classified as discontinued operations for all periods presented.</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To address the Staff’s comment, the Company’s disclosures in the consolidated statements of cash flow for the years ended December 31, 2008 and 2007 will be revised in its future filings, as applicable, to reconcile these line items. As a result of such revision, net cash provided by operating activities from continuing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60" w:name="page61"/>
    <w:bookmarkEnd w:id="60"/>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decrease by $1,437,445 and $926,405 for the years ended December 31, 2008 and 2007, respectively, and net cash provided by operating activities from discontinued operations will increase by $1,437,445 and $926,405 for the years ended December 31, 2008 and 2007, respectively. However, there is no impact from such revision on the consolidated net cash provided by operating activities for each of the years ended December 31, 2008 and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Stock Based Compensation, page 94</w:t>
      </w:r>
    </w:p>
    <w:p>
      <w:pPr>
        <w:spacing w:after="0" w:line="96" w:lineRule="exact"/>
        <w:rPr>
          <w:sz w:val="20"/>
          <w:szCs w:val="20"/>
          <w:color w:val="auto"/>
        </w:rPr>
      </w:pPr>
    </w:p>
    <w:p>
      <w:pPr>
        <w:jc w:val="both"/>
        <w:ind w:left="900" w:right="40" w:hanging="446"/>
        <w:spacing w:after="0" w:line="298" w:lineRule="auto"/>
        <w:tabs>
          <w:tab w:leader="none" w:pos="90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Please disclose the total intrinsic value of stock options exercised and the total fair value of restricted stock and restricted stock units vested for each year for which an income statement is provided. Refer to paragraph A240.C. of SFAS 123(R). Please also disclose the general terms of performance based restricted stock awards. In addition, please tell us why separate disclosure of performance based restricted stock awards are not important to an understanding of your use of stock-based compensation. Refer to paragraphs A240.a. and A240.f. of SFAS 123(R).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21</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address the Staff’s comment, the Company will revise its disclosure in future filings, as applicable, to include the total intrinsic value of stock options exercised and the total fair value of restricted stock and restricted stock units vested. The aggregate total intrinsic value of stock options exercised during the year ended December 31, 2008 was $381,130 and the aggregate total fair value of restricted stock and restricted stock units vested during the year ended December 31, 2008 was $2,573,126.</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did not issue any performance based restricted stock awards during the years ended December 31, 2008 and 2007. The Company had issued performance-based restricted awards with a vesting period of three years in July 2006 in connection with the acquisition of Inductis Inc. Since the grants were substantially vested or forfeited as of December 31, 2008, no separate disclosure was made in Note 11 on “Stock Based Compensation” to the consolidated financial statements included in the Company’s Annual Report on Form 10-K for the year ended December 31, 2008. The number of outstanding performance based grants was 1,616 as of December 31, 2008. The Company will include in its future filings, as applicable, a separate disclosure on any performance based restricted awards granted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Definitive Proxy Statement filed on Schedule 14A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Discussion and Analysis, page 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Incentive Bonus, page 17</w:t>
      </w:r>
    </w:p>
    <w:p>
      <w:pPr>
        <w:spacing w:after="0" w:line="96" w:lineRule="exact"/>
        <w:rPr>
          <w:sz w:val="20"/>
          <w:szCs w:val="20"/>
          <w:color w:val="auto"/>
        </w:rPr>
      </w:pPr>
    </w:p>
    <w:p>
      <w:pPr>
        <w:ind w:left="900" w:right="760" w:hanging="446"/>
        <w:spacing w:after="0" w:line="332" w:lineRule="auto"/>
        <w:tabs>
          <w:tab w:leader="none" w:pos="90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Please clarify how you calculated the annual cash incentive bonus amounts for </w:t>
      </w:r>
      <w:r>
        <w:rPr>
          <w:rFonts w:ascii="Arial" w:cs="Arial" w:eastAsia="Arial" w:hAnsi="Arial"/>
          <w:sz w:val="16"/>
          <w:szCs w:val="16"/>
          <w:i w:val="1"/>
          <w:iCs w:val="1"/>
          <w:u w:val="single" w:color="auto"/>
          <w:color w:val="auto"/>
        </w:rPr>
        <w:t>each</w:t>
      </w:r>
      <w:r>
        <w:rPr>
          <w:rFonts w:ascii="Arial" w:cs="Arial" w:eastAsia="Arial" w:hAnsi="Arial"/>
          <w:sz w:val="16"/>
          <w:szCs w:val="16"/>
          <w:i w:val="1"/>
          <w:iCs w:val="1"/>
          <w:color w:val="auto"/>
        </w:rPr>
        <w:t xml:space="preserve"> executive officer. Note that under Item 402(b)(l)(v) of Regulation S-K, a filer must disclose how it determined the amount and formula for each element of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22</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Company calculated cash incentive bonuses for its named executive officers in the following manner: As described in the Company’s Definitive Proxy Statement on Schedule 14A filed on EDGAR on April 30, 2009 (the “</w:t>
      </w:r>
      <w:r>
        <w:rPr>
          <w:rFonts w:ascii="Arial" w:cs="Arial" w:eastAsia="Arial" w:hAnsi="Arial"/>
          <w:sz w:val="15"/>
          <w:szCs w:val="15"/>
          <w:i w:val="1"/>
          <w:iCs w:val="1"/>
          <w:color w:val="auto"/>
        </w:rPr>
        <w:t>Proxy Statement</w:t>
      </w:r>
      <w:r>
        <w:rPr>
          <w:rFonts w:ascii="Arial" w:cs="Arial" w:eastAsia="Arial" w:hAnsi="Arial"/>
          <w:sz w:val="15"/>
          <w:szCs w:val="15"/>
          <w:color w:val="auto"/>
        </w:rPr>
        <w:t>”), the annual cash bonuses for the Company’s named executive officers were determined based partly on the financial performance of the Company, and partly on the Company’s Compensation Committee’s evaluation of the named executive officer’s performance against such named executive officer’s personal objectives. In the case of Messrs. Talwar, Kapoor and Shashank, 30% of the annual cash bonus was based on the Company’s performance against the revenue target (which portion was earned at 78% of target based on 2008 performance) and 30% of the annual cash bonus was based on the Company’s performance against the Adjusted EBIT target (which portion was earned at 0% of target based on 2008 performance). The remainder of the annual cash bonus was based on the Compensation Committee’s evaluation of the named executive officer’s performance against the named executive officer’s individual performance measures taken as a whole as described in the Proxy Statement. As a result, the total bonus for Messrs. Talwar, Kapoor and Shashank was 75%, 77.5% and 75.4%, respectively, of such named executive officer’s target annual bonus.</w:t>
      </w:r>
    </w:p>
    <w:p>
      <w:pPr>
        <w:spacing w:after="0" w:line="10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case of Mr. Nacha, 20% of the annual cash bonus was based on the Company’s performance against the revenue target (earned at 78% of target as described above), 20% of the annual cash bonus was based on the Company’s performance against the Adjusted EBIT target (earned at 0% of target as described above), and the remainder of the annual cash bonus was based on the Compensation Committee’s evaluation of his performance against his individual performance measures taken as a whole as described in the Proxy Statement). As a result, the total annual bonus for Mr. Nacha was 93.6% of his target annual bonus.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case of Mr. de Villa, 15% of the annual cash bonus was based on the Company’s performance against the revenue target (earned at 78% of target as described above), 15% of the annual cash bonus was based on the Company’s performance against the Adjusted EBIT target (earned at 0% of target as described above), 7.5% was based on revenue achievement at our research and analytics business (which portion was earned at 85% of target based on 2008 performance), 7.5% was based on gross margin percentage achievement at our research and analytics business (which portion was earned at 115% of target based on 2008 performance), 7.5% was based 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62" w:name="page63"/>
    <w:bookmarkEnd w:id="62"/>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margin percentage achievement at our risk advisory services business (which portion was earned at 70% of target based on 2008 performance), 7.5% was based on revenue achievement at our risk advisory services business (which portion was earned at 178% of target based on 2008 performance) and the remainder of the annual cash bonus was based on the Compensation Committee’s evaluation of his performance against his personal objectives (based on the factors described in the Proxy Statement). As a result, the total bonus for Mr. de Villa was 111.5% of his target bonus for 2008, which total bonus amount was then prorated to reflect the portion of 2008 during which Mr. de Villa was employed by the Company.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paid Mr. Appel 100% of his target bonus of $175,000, based on the Compensation Committee’s determination that he had achieved his personal performance goals, which included Mr. Appel’s contributions toward achieving the Company’s cost reduction plan, leadership in managing the currency risks facing the Company and enhancing the capabilities of the Company’s finance organization, in addition to his assistance in the timely filing of the Company’s 2008 Annual Report on Form 10-K.</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future filings, as applicable, the Company will revise its disclosure of the calculations of its annual cash bonuses to be substantially consistent with the foregoing.</w:t>
      </w:r>
    </w:p>
    <w:p>
      <w:pPr>
        <w:spacing w:after="0" w:line="132" w:lineRule="exact"/>
        <w:rPr>
          <w:sz w:val="20"/>
          <w:szCs w:val="20"/>
          <w:color w:val="auto"/>
        </w:rPr>
      </w:pPr>
    </w:p>
    <w:p>
      <w:pPr>
        <w:jc w:val="center"/>
        <w:ind w:right="-39"/>
        <w:spacing w:after="0"/>
        <w:tabs>
          <w:tab w:leader="none" w:pos="340" w:val="left"/>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have any questions concerning the above responses, please do not hesitate to contact either the undersigned at (212) 373-3025 or Aun A. Singapore at (212) 373-3431.</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140"/>
        <w:spacing w:after="0"/>
        <w:tabs>
          <w:tab w:leader="none" w:pos="84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C. K</w:t>
      </w:r>
      <w:r>
        <w:rPr>
          <w:rFonts w:ascii="Arial" w:cs="Arial" w:eastAsia="Arial" w:hAnsi="Arial"/>
          <w:sz w:val="13"/>
          <w:szCs w:val="13"/>
          <w:color w:val="auto"/>
        </w:rPr>
        <w:t>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640"/>
        <w:spacing w:after="0"/>
        <w:rPr>
          <w:sz w:val="20"/>
          <w:szCs w:val="20"/>
          <w:color w:val="auto"/>
        </w:rPr>
      </w:pPr>
      <w:r>
        <w:rPr>
          <w:rFonts w:ascii="Arial" w:cs="Arial" w:eastAsia="Arial" w:hAnsi="Arial"/>
          <w:sz w:val="14"/>
          <w:szCs w:val="14"/>
          <w:b w:val="1"/>
          <w:bCs w:val="1"/>
          <w:color w:val="auto"/>
        </w:rPr>
        <w:t>John C. Kennedy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cc:Amit Shashank, Esq.</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1"/>
    </w:lvl>
    <w:lvl w:ilvl="1">
      <w:lvlJc w:val="left"/>
      <w:lvlText w:val="(%2)"/>
      <w:numFmt w:val="lowerRoman"/>
      <w:start w:val="1"/>
    </w:lvl>
  </w:abstractNum>
  <w:abstractNum w:abstractNumId="27">
    <w:nsid w:val="2CD89A32"/>
    <w:multiLevelType w:val="hybridMultilevel"/>
    <w:lvl w:ilvl="0">
      <w:lvlJc w:val="left"/>
      <w:lvlText w:val="(%1)"/>
      <w:numFmt w:val="decimal"/>
      <w:start w:val="2"/>
    </w:lvl>
  </w:abstractNum>
  <w:abstractNum w:abstractNumId="28">
    <w:nsid w:val="57E4CCAF"/>
    <w:multiLevelType w:val="hybridMultilevel"/>
    <w:lvl w:ilvl="0">
      <w:lvlJc w:val="left"/>
      <w:lvlText w:val="(%1)"/>
      <w:numFmt w:val="decimal"/>
      <w:start w:val="3"/>
    </w:lvl>
    <w:lvl w:ilvl="1">
      <w:lvlJc w:val="left"/>
      <w:lvlText w:val="(%2)"/>
      <w:numFmt w:val="lowerRoman"/>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5"/>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7"/>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upperLetter"/>
      <w:start w:val="1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2"/>
    </w:lvl>
  </w:abstractNum>
  <w:abstractNum w:abstractNumId="39">
    <w:nsid w:val="3DC240FB"/>
    <w:multiLevelType w:val="hybridMultilevel"/>
    <w:lvl w:ilvl="0">
      <w:lvlJc w:val="left"/>
      <w:lvlText w:val="%1."/>
      <w:numFmt w:val="decimal"/>
      <w:start w:val="3"/>
    </w:lvl>
  </w:abstractNum>
  <w:abstractNum w:abstractNumId="40">
    <w:nsid w:val="1BA026FA"/>
    <w:multiLevelType w:val="hybridMultilevel"/>
    <w:lvl w:ilvl="0">
      <w:lvlJc w:val="left"/>
      <w:lvlText w:val="%1."/>
      <w:numFmt w:val="decimal"/>
      <w:start w:val="4"/>
    </w:lvl>
  </w:abstractNum>
  <w:abstractNum w:abstractNumId="41">
    <w:nsid w:val="79A1DEAA"/>
    <w:multiLevelType w:val="hybridMultilevel"/>
    <w:lvl w:ilvl="0">
      <w:lvlJc w:val="left"/>
      <w:lvlText w:val="%1."/>
      <w:numFmt w:val="decimal"/>
      <w:start w:val="5"/>
    </w:lvl>
  </w:abstractNum>
  <w:abstractNum w:abstractNumId="42">
    <w:nsid w:val="75C6C33A"/>
    <w:multiLevelType w:val="hybridMultilevel"/>
    <w:lvl w:ilvl="0">
      <w:lvlJc w:val="left"/>
      <w:lvlText w:val="%1."/>
      <w:numFmt w:val="decimal"/>
      <w:start w:val="6"/>
    </w:lvl>
  </w:abstractNum>
  <w:abstractNum w:abstractNumId="43">
    <w:nsid w:val="12E685FB"/>
    <w:multiLevelType w:val="hybridMultilevel"/>
    <w:lvl w:ilvl="0">
      <w:lvlJc w:val="left"/>
      <w:lvlText w:val="%1."/>
      <w:numFmt w:val="decimal"/>
      <w:start w:val="7"/>
    </w:lvl>
  </w:abstractNum>
  <w:abstractNum w:abstractNumId="44">
    <w:nsid w:val="70C6A529"/>
    <w:multiLevelType w:val="hybridMultilevel"/>
    <w:lvl w:ilvl="0">
      <w:lvlJc w:val="left"/>
      <w:lvlText w:val="%1."/>
      <w:numFmt w:val="decimal"/>
      <w:start w:val="8"/>
    </w:lvl>
  </w:abstractNum>
  <w:abstractNum w:abstractNumId="45">
    <w:nsid w:val="520EEDD1"/>
    <w:multiLevelType w:val="hybridMultilevel"/>
    <w:lvl w:ilvl="0">
      <w:lvlJc w:val="left"/>
      <w:lvlText w:val="%1."/>
      <w:numFmt w:val="decimal"/>
      <w:start w:val="9"/>
    </w:lvl>
  </w:abstractNum>
  <w:abstractNum w:abstractNumId="46">
    <w:nsid w:val="374A3FE6"/>
    <w:multiLevelType w:val="hybridMultilevel"/>
    <w:lvl w:ilvl="0">
      <w:lvlJc w:val="left"/>
      <w:lvlText w:val="%1."/>
      <w:numFmt w:val="decimal"/>
      <w:start w:val="10"/>
    </w:lvl>
  </w:abstractNum>
  <w:abstractNum w:abstractNumId="47">
    <w:nsid w:val="4F4EF005"/>
    <w:multiLevelType w:val="hybridMultilevel"/>
    <w:lvl w:ilvl="0">
      <w:lvlJc w:val="left"/>
      <w:lvlText w:val="%1."/>
      <w:numFmt w:val="decimal"/>
      <w:start w:val="11"/>
    </w:lvl>
  </w:abstractNum>
  <w:abstractNum w:abstractNumId="48">
    <w:nsid w:val="23F9C13C"/>
    <w:multiLevelType w:val="hybridMultilevel"/>
    <w:lvl w:ilvl="0">
      <w:lvlJc w:val="left"/>
      <w:lvlText w:val="%1."/>
      <w:numFmt w:val="decimal"/>
      <w:start w:val="12"/>
    </w:lvl>
  </w:abstractNum>
  <w:abstractNum w:abstractNumId="49">
    <w:nsid w:val="649BB77C"/>
    <w:multiLevelType w:val="hybridMultilevel"/>
    <w:lvl w:ilvl="0">
      <w:lvlJc w:val="left"/>
      <w:lvlText w:val="%1."/>
      <w:numFmt w:val="decimal"/>
      <w:start w:val="13"/>
    </w:lvl>
  </w:abstractNum>
  <w:abstractNum w:abstractNumId="50">
    <w:nsid w:val="275AC794"/>
    <w:multiLevelType w:val="hybridMultilevel"/>
    <w:lvl w:ilvl="0">
      <w:lvlJc w:val="left"/>
      <w:lvlText w:val="%1."/>
      <w:numFmt w:val="decimal"/>
      <w:start w:val="14"/>
    </w:lvl>
  </w:abstractNum>
  <w:abstractNum w:abstractNumId="51">
    <w:nsid w:val="39386575"/>
    <w:multiLevelType w:val="hybridMultilevel"/>
    <w:lvl w:ilvl="0">
      <w:lvlJc w:val="left"/>
      <w:lvlText w:val="%1."/>
      <w:numFmt w:val="decimal"/>
      <w:start w:val="15"/>
    </w:lvl>
  </w:abstractNum>
  <w:abstractNum w:abstractNumId="52">
    <w:nsid w:val="1CF10FD8"/>
    <w:multiLevelType w:val="hybridMultilevel"/>
    <w:lvl w:ilvl="0">
      <w:lvlJc w:val="left"/>
      <w:lvlText w:val="%1."/>
      <w:numFmt w:val="decimal"/>
      <w:start w:val="16"/>
    </w:lvl>
  </w:abstractNum>
  <w:abstractNum w:abstractNumId="53">
    <w:nsid w:val="180115BE"/>
    <w:multiLevelType w:val="hybridMultilevel"/>
    <w:lvl w:ilvl="0">
      <w:lvlJc w:val="left"/>
      <w:lvlText w:val="%1."/>
      <w:numFmt w:val="decimal"/>
      <w:start w:val="17"/>
    </w:lvl>
  </w:abstractNum>
  <w:abstractNum w:abstractNumId="54">
    <w:nsid w:val="235BA861"/>
    <w:multiLevelType w:val="hybridMultilevel"/>
    <w:lvl w:ilvl="0">
      <w:lvlJc w:val="left"/>
      <w:lvlText w:val="%1."/>
      <w:numFmt w:val="decimal"/>
      <w:start w:val="18"/>
    </w:lvl>
  </w:abstractNum>
  <w:abstractNum w:abstractNumId="55">
    <w:nsid w:val="47398C89"/>
    <w:multiLevelType w:val="hybridMultilevel"/>
    <w:lvl w:ilvl="0">
      <w:lvlJc w:val="left"/>
      <w:lvlText w:val="(%1)"/>
      <w:numFmt w:val="upperLetter"/>
      <w:start w:val="2"/>
    </w:lvl>
  </w:abstractNum>
  <w:abstractNum w:abstractNumId="56">
    <w:nsid w:val="354FE9F9"/>
    <w:multiLevelType w:val="hybridMultilevel"/>
    <w:lvl w:ilvl="0">
      <w:lvlJc w:val="left"/>
      <w:lvlText w:val="%1."/>
      <w:numFmt w:val="decimal"/>
      <w:start w:val="19"/>
    </w:lvl>
  </w:abstractNum>
  <w:abstractNum w:abstractNumId="57">
    <w:nsid w:val="15B5AF5C"/>
    <w:multiLevelType w:val="hybridMultilevel"/>
    <w:lvl w:ilvl="0">
      <w:lvlJc w:val="left"/>
      <w:lvlText w:val="%1."/>
      <w:numFmt w:val="decimal"/>
      <w:start w:val="20"/>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21"/>
    </w:lvl>
  </w:abstractNum>
  <w:abstractNum w:abstractNumId="60">
    <w:nsid w:val="10233C99"/>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2019-12-10T23:22:42Z</dcterms:created>
  <dcterms:modified xsi:type="dcterms:W3CDTF">2019-12-10T23:22:42Z</dcterms:modified>
</cp:coreProperties>
</file>