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QUARTERLY PERIOD ENDED JUNE 30, 2026</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18"/>
        </w:rPr>
        <w:t>FOR THE TRANSITION PERIOD FROM</w:t>
      </w:r>
      <w:r>
        <w:rPr>
          <w:color w:val="000000"/>
        </w:rPr>
        <w:t xml:space="preserve"> </w:t>
      </w:r>
      <w:r>
        <w:rPr>
          <w:color w:val="000000"/>
          <w:u w:val="single"/>
        </w:rPr>
        <w:t>                    </w:t>
      </w:r>
      <w:r>
        <w:rPr>
          <w:color w:val="000000"/>
        </w:rPr>
        <w:t xml:space="preserve"> </w:t>
      </w:r>
      <w:r>
        <w:rPr>
          <w:rFonts w:ascii="Times New Roman;serif" w:hAnsi="Times New Roman;serif"/>
          <w:b/>
          <w:color w:val="000000"/>
          <w:sz w:val="18"/>
        </w:rPr>
        <w:t>TO</w:t>
      </w:r>
      <w:r>
        <w:rPr>
          <w:color w:val="000000"/>
        </w:rPr>
        <w:t xml:space="preserve"> </w:t>
      </w:r>
      <w:r>
        <w:rPr>
          <w:color w:val="000000"/>
          <w:u w:val="single"/>
        </w:rPr>
        <w:t>                    </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 xml:space="preserve">COMMISSION FILE NUMBER 001-33089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EXLSERVICE HOLDINGS, INC.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w:t>
      </w:r>
    </w:p>
    <w:tbl>
      <w:tblPr>
        <w:tblW w:w="4733" w:type="dxa"/>
        <w:jc w:val="center"/>
        <w:tblInd w:w="0" w:type="dxa"/>
        <w:tblLayout w:type="fixed"/>
        <w:tblCellMar>
          <w:top w:w="28" w:type="dxa"/>
          <w:left w:w="28" w:type="dxa"/>
          <w:bottom w:w="28" w:type="dxa"/>
          <w:right w:w="28" w:type="dxa"/>
        </w:tblCellMar>
      </w:tblPr>
      <w:tblGrid>
        <w:gridCol w:w="592"/>
        <w:gridCol w:w="523"/>
        <w:gridCol w:w="523"/>
        <w:gridCol w:w="425"/>
        <w:gridCol w:w="425"/>
        <w:gridCol w:w="434"/>
        <w:gridCol w:w="109"/>
        <w:gridCol w:w="109"/>
        <w:gridCol w:w="109"/>
        <w:gridCol w:w="432"/>
        <w:gridCol w:w="432"/>
        <w:gridCol w:w="620"/>
      </w:tblGrid>
      <w:tr>
        <w:trPr/>
        <w:tc>
          <w:tcPr>
            <w:tcW w:w="59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82-0572194</w:t>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320 Park Avenue,</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29</w:t>
            </w:r>
            <w:r>
              <w:rPr>
                <w:rFonts w:ascii="Times New Roman;serif" w:hAnsi="Times New Roman;serif"/>
                <w:b/>
                <w:color w:val="000000"/>
                <w:sz w:val="12"/>
              </w:rPr>
              <w:t>th</w:t>
            </w:r>
            <w:r>
              <w:rPr>
                <w:color w:val="000000"/>
              </w:rPr>
              <w:t xml:space="preserve"> </w:t>
            </w:r>
            <w:r>
              <w:rPr>
                <w:rFonts w:ascii="Times New Roman;serif" w:hAnsi="Times New Roman;serif"/>
                <w:b/>
                <w:color w:val="000000"/>
                <w:sz w:val="18"/>
              </w:rPr>
              <w:t>Floor,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New York,</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10022</w:t>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(212) 277-7100 </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bl>
      <w:tblPr>
        <w:tblW w:w="8249" w:type="dxa"/>
        <w:jc w:val="center"/>
        <w:tblInd w:w="0" w:type="dxa"/>
        <w:tblLayout w:type="fixed"/>
        <w:tblCellMar>
          <w:top w:w="28" w:type="dxa"/>
          <w:left w:w="28" w:type="dxa"/>
          <w:bottom w:w="28" w:type="dxa"/>
          <w:right w:w="28" w:type="dxa"/>
        </w:tblCellMar>
      </w:tblPr>
      <w:tblGrid>
        <w:gridCol w:w="1160"/>
        <w:gridCol w:w="1017"/>
        <w:gridCol w:w="1017"/>
        <w:gridCol w:w="510"/>
        <w:gridCol w:w="510"/>
        <w:gridCol w:w="510"/>
        <w:gridCol w:w="1033"/>
        <w:gridCol w:w="1033"/>
        <w:gridCol w:w="1459"/>
      </w:tblGrid>
      <w:tr>
        <w:trPr/>
        <w:tc>
          <w:tcPr>
            <w:tcW w:w="1160"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r>
      <w:tr>
        <w:trPr/>
        <w:tc>
          <w:tcPr>
            <w:tcW w:w="8249" w:type="dxa"/>
            <w:gridSpan w:val="9"/>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c>
      </w:tr>
      <w:tr>
        <w:trPr/>
        <w:tc>
          <w:tcPr>
            <w:tcW w:w="31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53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symbol(s)</w:t>
            </w:r>
          </w:p>
        </w:tc>
        <w:tc>
          <w:tcPr>
            <w:tcW w:w="352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319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$0.001 per share</w:t>
            </w:r>
          </w:p>
        </w:tc>
        <w:tc>
          <w:tcPr>
            <w:tcW w:w="153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EXLS</w:t>
            </w:r>
          </w:p>
        </w:tc>
        <w:tc>
          <w:tcPr>
            <w:tcW w:w="352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registered pursuant to Section 12(g) of the Act: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None</w:t>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________________________________________________________</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pStyle w:val="TextBody"/>
        <w:bidi w:val="0"/>
        <w:spacing w:lineRule="auto" w:line="288" w:before="0" w:after="0"/>
        <w:jc w:val="left"/>
        <w:rPr/>
      </w:pPr>
      <w:r>
        <w:rPr>
          <w:rFonts w:ascii="Times New Roman;serif" w:hAnsi="Times New Roman;serif"/>
          <w:b w:val="false"/>
          <w:color w:val="000000"/>
          <w:sz w:val="18"/>
        </w:rPr>
        <w:t>(2)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760" w:type="dxa"/>
        <w:jc w:val="left"/>
        <w:tblInd w:w="0" w:type="dxa"/>
        <w:tblLayout w:type="fixed"/>
        <w:tblCellMar>
          <w:top w:w="28" w:type="dxa"/>
          <w:left w:w="28" w:type="dxa"/>
          <w:bottom w:w="28" w:type="dxa"/>
          <w:right w:w="28" w:type="dxa"/>
        </w:tblCellMar>
      </w:tblPr>
      <w:tblGrid>
        <w:gridCol w:w="743"/>
        <w:gridCol w:w="653"/>
        <w:gridCol w:w="658"/>
        <w:gridCol w:w="109"/>
        <w:gridCol w:w="109"/>
        <w:gridCol w:w="109"/>
        <w:gridCol w:w="109"/>
        <w:gridCol w:w="109"/>
        <w:gridCol w:w="109"/>
        <w:gridCol w:w="109"/>
        <w:gridCol w:w="109"/>
        <w:gridCol w:w="109"/>
        <w:gridCol w:w="674"/>
        <w:gridCol w:w="674"/>
        <w:gridCol w:w="678"/>
        <w:gridCol w:w="109"/>
        <w:gridCol w:w="109"/>
        <w:gridCol w:w="109"/>
        <w:gridCol w:w="109"/>
        <w:gridCol w:w="109"/>
        <w:gridCol w:w="154"/>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 Yes  ☐    No  ☒</w:t>
      </w:r>
    </w:p>
    <w:p>
      <w:pPr>
        <w:pStyle w:val="TextBody"/>
        <w:bidi w:val="0"/>
        <w:spacing w:before="60" w:after="283"/>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As of July 24, 2026, there were 151,612,499 shares of the registrant’s common stock outstanding, par value $0.001 per share.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17"/>
        <w:gridCol w:w="191"/>
        <w:gridCol w:w="193"/>
        <w:gridCol w:w="109"/>
        <w:gridCol w:w="109"/>
        <w:gridCol w:w="109"/>
        <w:gridCol w:w="2901"/>
        <w:gridCol w:w="2876"/>
        <w:gridCol w:w="2882"/>
        <w:gridCol w:w="180"/>
        <w:gridCol w:w="180"/>
        <w:gridCol w:w="258"/>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1"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89690a56894ff1bb8cabbd2cc0cf60_10">
              <w:r>
                <w:rPr>
                  <w:rStyle w:val="InternetLink"/>
                  <w:rFonts w:ascii="Times New Roman;serif" w:hAnsi="Times New Roman;serif"/>
                  <w:b w:val="false"/>
                  <w:color w:val="0000FF"/>
                  <w:sz w:val="20"/>
                  <w:u w:val="single"/>
                </w:rPr>
                <w:t>Part I. Financial Information</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489690a56894ff1bb8cabbd2cc0cf60_10">
              <w:r>
                <w:rPr>
                  <w:rStyle w:val="InternetLink"/>
                  <w:rFonts w:ascii="Times New Roman;serif" w:hAnsi="Times New Roman;serif"/>
                  <w:b w:val="false"/>
                  <w:strike w:val="false"/>
                  <w:dstrike w:val="false"/>
                  <w:color w:val="0000FF"/>
                  <w:sz w:val="20"/>
                  <w:u w:val="none"/>
                  <w:effect w:val="none"/>
                </w:rPr>
                <w:t>3</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89690a56894ff1bb8cabbd2cc0cf60_13">
              <w:r>
                <w:rPr>
                  <w:rStyle w:val="InternetLink"/>
                  <w:rFonts w:ascii="Times New Roman;serif" w:hAnsi="Times New Roman;serif"/>
                  <w:b w:val="false"/>
                  <w:color w:val="0000FF"/>
                  <w:sz w:val="20"/>
                  <w:u w:val="single"/>
                </w:rPr>
                <w:t>FINANCIAL STATEMENTS (UNAUDITED)</w:t>
              </w:r>
            </w:hyperlink>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489690a56894ff1bb8cabbd2cc0cf60_16">
              <w:r>
                <w:rPr>
                  <w:rStyle w:val="InternetLink"/>
                  <w:rFonts w:ascii="Times New Roman;serif" w:hAnsi="Times New Roman;serif"/>
                  <w:b w:val="false"/>
                  <w:color w:val="0000FF"/>
                  <w:sz w:val="20"/>
                  <w:u w:val="single"/>
                </w:rPr>
                <w:t>Consolidated Balance Sheets as of June 30, 2026 and December 31, 2025</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489690a56894ff1bb8cabbd2cc0cf60_16">
              <w:r>
                <w:rPr>
                  <w:rStyle w:val="InternetLink"/>
                  <w:rFonts w:ascii="Times New Roman;serif" w:hAnsi="Times New Roman;serif"/>
                  <w:b w:val="false"/>
                  <w:strike w:val="false"/>
                  <w:dstrike w:val="false"/>
                  <w:color w:val="0000FF"/>
                  <w:sz w:val="20"/>
                  <w:u w:val="none"/>
                  <w:effect w:val="none"/>
                </w:rPr>
                <w:t>3</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489690a56894ff1bb8cabbd2cc0cf60_19">
              <w:r>
                <w:rPr>
                  <w:rStyle w:val="InternetLink"/>
                  <w:rFonts w:ascii="Times New Roman;serif" w:hAnsi="Times New Roman;serif"/>
                  <w:b w:val="false"/>
                  <w:color w:val="0000FF"/>
                  <w:sz w:val="20"/>
                  <w:u w:val="single"/>
                </w:rPr>
                <w:t>Consolidated Statements of Income for the Three and Six Months Ended June 30, 2026 and 2025</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489690a56894ff1bb8cabbd2cc0cf60_19">
              <w:r>
                <w:rPr>
                  <w:rStyle w:val="InternetLink"/>
                  <w:rFonts w:ascii="Times New Roman;serif" w:hAnsi="Times New Roman;serif"/>
                  <w:b w:val="false"/>
                  <w:strike w:val="false"/>
                  <w:dstrike w:val="false"/>
                  <w:color w:val="0000FF"/>
                  <w:sz w:val="20"/>
                  <w:u w:val="none"/>
                  <w:effect w:val="none"/>
                </w:rPr>
                <w:t>4</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489690a56894ff1bb8cabbd2cc0cf60_22">
              <w:r>
                <w:rPr>
                  <w:rStyle w:val="InternetLink"/>
                  <w:rFonts w:ascii="Times New Roman;serif" w:hAnsi="Times New Roman;serif"/>
                  <w:b w:val="false"/>
                  <w:color w:val="0000FF"/>
                  <w:sz w:val="20"/>
                  <w:u w:val="single"/>
                </w:rPr>
                <w:t>Consolidated Statements of Comprehensive Income for the Three and Six Months Ended June 30, 2026 and 2025</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489690a56894ff1bb8cabbd2cc0cf60_22">
              <w:r>
                <w:rPr>
                  <w:rStyle w:val="InternetLink"/>
                  <w:rFonts w:ascii="Times New Roman;serif" w:hAnsi="Times New Roman;serif"/>
                  <w:b w:val="false"/>
                  <w:strike w:val="false"/>
                  <w:dstrike w:val="false"/>
                  <w:color w:val="0000FF"/>
                  <w:sz w:val="20"/>
                  <w:u w:val="none"/>
                  <w:effect w:val="none"/>
                </w:rPr>
                <w:t>5</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489690a56894ff1bb8cabbd2cc0cf60_25">
              <w:r>
                <w:rPr>
                  <w:rStyle w:val="InternetLink"/>
                  <w:rFonts w:ascii="Times New Roman;serif" w:hAnsi="Times New Roman;serif"/>
                  <w:b w:val="false"/>
                  <w:color w:val="0000FF"/>
                  <w:sz w:val="20"/>
                  <w:u w:val="single"/>
                </w:rPr>
                <w:t>Consolidated Statements of Stockholders' Equity for the Three and Six Months Ended June 30, 2026 and 2025</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489690a56894ff1bb8cabbd2cc0cf60_25">
              <w:r>
                <w:rPr>
                  <w:rStyle w:val="InternetLink"/>
                  <w:rFonts w:ascii="Times New Roman;serif" w:hAnsi="Times New Roman;serif"/>
                  <w:b w:val="false"/>
                  <w:strike w:val="false"/>
                  <w:dstrike w:val="false"/>
                  <w:color w:val="0000FF"/>
                  <w:sz w:val="20"/>
                  <w:u w:val="none"/>
                  <w:effect w:val="none"/>
                </w:rPr>
                <w:t>6</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489690a56894ff1bb8cabbd2cc0cf60_28">
              <w:r>
                <w:rPr>
                  <w:rStyle w:val="InternetLink"/>
                  <w:rFonts w:ascii="Times New Roman;serif" w:hAnsi="Times New Roman;serif"/>
                  <w:b w:val="false"/>
                  <w:color w:val="0000FF"/>
                  <w:sz w:val="20"/>
                  <w:u w:val="single"/>
                </w:rPr>
                <w:t>Consolidated Statements of Cash Flows for the Six Months Ended June 30, 2026 and 2025</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489690a56894ff1bb8cabbd2cc0cf60_28">
              <w:r>
                <w:rPr>
                  <w:rStyle w:val="InternetLink"/>
                  <w:rFonts w:ascii="Times New Roman;serif" w:hAnsi="Times New Roman;serif"/>
                  <w:b w:val="false"/>
                  <w:strike w:val="false"/>
                  <w:dstrike w:val="false"/>
                  <w:color w:val="0000FF"/>
                  <w:sz w:val="20"/>
                  <w:u w:val="none"/>
                  <w:effect w:val="none"/>
                </w:rPr>
                <w:t>8</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89690a56894ff1bb8cabbd2cc0cf60_31">
              <w:r>
                <w:rPr>
                  <w:rStyle w:val="InternetLink"/>
                  <w:rFonts w:ascii="Times New Roman;serif" w:hAnsi="Times New Roman;serif"/>
                  <w:b w:val="false"/>
                  <w:color w:val="0000FF"/>
                  <w:sz w:val="20"/>
                  <w:u w:val="single"/>
                </w:rPr>
                <w:t>Notes to Consolidated Financial Statements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489690a56894ff1bb8cabbd2cc0cf60_31">
              <w:r>
                <w:rPr>
                  <w:rStyle w:val="InternetLink"/>
                  <w:rFonts w:ascii="Times New Roman;serif" w:hAnsi="Times New Roman;serif"/>
                  <w:b w:val="false"/>
                  <w:strike w:val="false"/>
                  <w:dstrike w:val="false"/>
                  <w:color w:val="0000FF"/>
                  <w:sz w:val="20"/>
                  <w:u w:val="none"/>
                  <w:effect w:val="none"/>
                </w:rPr>
                <w:t>9</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89690a56894ff1bb8cabbd2cc0cf60_11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489690a56894ff1bb8cabbd2cc0cf60_118">
              <w:r>
                <w:rPr>
                  <w:rStyle w:val="InternetLink"/>
                  <w:rFonts w:ascii="Times New Roman;serif" w:hAnsi="Times New Roman;serif"/>
                  <w:b w:val="false"/>
                  <w:strike w:val="false"/>
                  <w:dstrike w:val="false"/>
                  <w:color w:val="0000FF"/>
                  <w:sz w:val="20"/>
                  <w:u w:val="none"/>
                  <w:effect w:val="none"/>
                </w:rPr>
                <w:t>38</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89690a56894ff1bb8cabbd2cc0cf60_121">
              <w:r>
                <w:rPr>
                  <w:rStyle w:val="InternetLink"/>
                  <w:rFonts w:ascii="Times New Roman;serif" w:hAnsi="Times New Roman;serif"/>
                  <w:b w:val="false"/>
                  <w:color w:val="0000FF"/>
                  <w:sz w:val="20"/>
                  <w:u w:val="single"/>
                </w:rPr>
                <w:t>Quantitative and Qualitative Disclosures About Market Risk</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489690a56894ff1bb8cabbd2cc0cf60_121">
              <w:r>
                <w:rPr>
                  <w:rStyle w:val="InternetLink"/>
                  <w:rFonts w:ascii="Times New Roman;serif" w:hAnsi="Times New Roman;serif"/>
                  <w:b w:val="false"/>
                  <w:strike w:val="false"/>
                  <w:dstrike w:val="false"/>
                  <w:color w:val="0000FF"/>
                  <w:sz w:val="20"/>
                  <w:u w:val="none"/>
                  <w:effect w:val="none"/>
                </w:rPr>
                <w:t>53</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89690a56894ff1bb8cabbd2cc0cf60_124">
              <w:r>
                <w:rPr>
                  <w:rStyle w:val="InternetLink"/>
                  <w:rFonts w:ascii="Times New Roman;serif" w:hAnsi="Times New Roman;serif"/>
                  <w:b w:val="false"/>
                  <w:color w:val="0000FF"/>
                  <w:sz w:val="20"/>
                  <w:u w:val="single"/>
                </w:rPr>
                <w:t>Controls and Procedures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489690a56894ff1bb8cabbd2cc0cf60_124">
              <w:r>
                <w:rPr>
                  <w:rStyle w:val="InternetLink"/>
                  <w:rFonts w:ascii="Times New Roman;serif" w:hAnsi="Times New Roman;serif"/>
                  <w:b w:val="false"/>
                  <w:strike w:val="false"/>
                  <w:dstrike w:val="false"/>
                  <w:color w:val="0000FF"/>
                  <w:sz w:val="20"/>
                  <w:u w:val="none"/>
                  <w:effect w:val="none"/>
                </w:rPr>
                <w:t>53</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89690a56894ff1bb8cabbd2cc0cf60_127">
              <w:r>
                <w:rPr>
                  <w:rStyle w:val="InternetLink"/>
                  <w:rFonts w:ascii="Times New Roman;serif" w:hAnsi="Times New Roman;serif"/>
                  <w:b w:val="false"/>
                  <w:color w:val="0000FF"/>
                  <w:sz w:val="20"/>
                  <w:u w:val="single"/>
                </w:rPr>
                <w:t>Part II. Other Information</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489690a56894ff1bb8cabbd2cc0cf60_127">
              <w:r>
                <w:rPr>
                  <w:rStyle w:val="InternetLink"/>
                  <w:rFonts w:ascii="Times New Roman;serif" w:hAnsi="Times New Roman;serif"/>
                  <w:b w:val="false"/>
                  <w:strike w:val="false"/>
                  <w:dstrike w:val="false"/>
                  <w:color w:val="0000FF"/>
                  <w:sz w:val="20"/>
                  <w:u w:val="none"/>
                  <w:effect w:val="none"/>
                </w:rPr>
                <w:t>53</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89690a56894ff1bb8cabbd2cc0cf60_130">
              <w:r>
                <w:rPr>
                  <w:rStyle w:val="InternetLink"/>
                  <w:rFonts w:ascii="Times New Roman;serif" w:hAnsi="Times New Roman;serif"/>
                  <w:b w:val="false"/>
                  <w:color w:val="0000FF"/>
                  <w:sz w:val="20"/>
                  <w:u w:val="single"/>
                </w:rPr>
                <w:t>Legal Proceedings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489690a56894ff1bb8cabbd2cc0cf60_130">
              <w:r>
                <w:rPr>
                  <w:rStyle w:val="InternetLink"/>
                  <w:rFonts w:ascii="Times New Roman;serif" w:hAnsi="Times New Roman;serif"/>
                  <w:b w:val="false"/>
                  <w:strike w:val="false"/>
                  <w:dstrike w:val="false"/>
                  <w:color w:val="0000FF"/>
                  <w:sz w:val="20"/>
                  <w:u w:val="none"/>
                  <w:effect w:val="none"/>
                </w:rPr>
                <w:t>53</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89690a56894ff1bb8cabbd2cc0cf60_133">
              <w:r>
                <w:rPr>
                  <w:rStyle w:val="InternetLink"/>
                  <w:rFonts w:ascii="Times New Roman;serif" w:hAnsi="Times New Roman;serif"/>
                  <w:b w:val="false"/>
                  <w:color w:val="0000FF"/>
                  <w:sz w:val="20"/>
                  <w:u w:val="single"/>
                </w:rPr>
                <w:t>Risk Factors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489690a56894ff1bb8cabbd2cc0cf60_133">
              <w:r>
                <w:rPr>
                  <w:rStyle w:val="InternetLink"/>
                  <w:rFonts w:ascii="Times New Roman;serif" w:hAnsi="Times New Roman;serif"/>
                  <w:b w:val="false"/>
                  <w:strike w:val="false"/>
                  <w:dstrike w:val="false"/>
                  <w:color w:val="0000FF"/>
                  <w:sz w:val="20"/>
                  <w:u w:val="none"/>
                  <w:effect w:val="none"/>
                </w:rPr>
                <w:t>53</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89690a56894ff1bb8cabbd2cc0cf60_136">
              <w:r>
                <w:rPr>
                  <w:rStyle w:val="InternetLink"/>
                  <w:rFonts w:ascii="Times New Roman;serif" w:hAnsi="Times New Roman;serif"/>
                  <w:b w:val="false"/>
                  <w:color w:val="0000FF"/>
                  <w:sz w:val="20"/>
                  <w:u w:val="single"/>
                </w:rPr>
                <w:t>Unregistered Sales of Equity Securities and Use of Proceeds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489690a56894ff1bb8cabbd2cc0cf60_136">
              <w:r>
                <w:rPr>
                  <w:rStyle w:val="InternetLink"/>
                  <w:rFonts w:ascii="Times New Roman;serif" w:hAnsi="Times New Roman;serif"/>
                  <w:b w:val="false"/>
                  <w:strike w:val="false"/>
                  <w:dstrike w:val="false"/>
                  <w:color w:val="0000FF"/>
                  <w:sz w:val="20"/>
                  <w:u w:val="none"/>
                  <w:effect w:val="none"/>
                </w:rPr>
                <w:t>53</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89690a56894ff1bb8cabbd2cc0cf60_139">
              <w:r>
                <w:rPr>
                  <w:rStyle w:val="InternetLink"/>
                  <w:rFonts w:ascii="Times New Roman;serif" w:hAnsi="Times New Roman;serif"/>
                  <w:b w:val="false"/>
                  <w:color w:val="0000FF"/>
                  <w:sz w:val="20"/>
                  <w:u w:val="single"/>
                </w:rPr>
                <w:t>Defaults Upon Senior Securities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489690a56894ff1bb8cabbd2cc0cf60_139">
              <w:r>
                <w:rPr>
                  <w:rStyle w:val="InternetLink"/>
                  <w:rFonts w:ascii="Times New Roman;serif" w:hAnsi="Times New Roman;serif"/>
                  <w:b w:val="false"/>
                  <w:strike w:val="false"/>
                  <w:dstrike w:val="false"/>
                  <w:color w:val="0000FF"/>
                  <w:sz w:val="20"/>
                  <w:u w:val="none"/>
                  <w:effect w:val="none"/>
                </w:rPr>
                <w:t>54</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89690a56894ff1bb8cabbd2cc0cf60_142">
              <w:r>
                <w:rPr>
                  <w:rStyle w:val="InternetLink"/>
                  <w:rFonts w:ascii="Times New Roman;serif" w:hAnsi="Times New Roman;serif"/>
                  <w:b w:val="false"/>
                  <w:color w:val="0000FF"/>
                  <w:sz w:val="20"/>
                  <w:u w:val="single"/>
                </w:rPr>
                <w:t>Mine Safety Disclosures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489690a56894ff1bb8cabbd2cc0cf60_142">
              <w:r>
                <w:rPr>
                  <w:rStyle w:val="InternetLink"/>
                  <w:rFonts w:ascii="Times New Roman;serif" w:hAnsi="Times New Roman;serif"/>
                  <w:b w:val="false"/>
                  <w:strike w:val="false"/>
                  <w:dstrike w:val="false"/>
                  <w:color w:val="0000FF"/>
                  <w:sz w:val="20"/>
                  <w:u w:val="none"/>
                  <w:effect w:val="none"/>
                </w:rPr>
                <w:t>54</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89690a56894ff1bb8cabbd2cc0cf60_145">
              <w:r>
                <w:rPr>
                  <w:rStyle w:val="InternetLink"/>
                  <w:rFonts w:ascii="Times New Roman;serif" w:hAnsi="Times New Roman;serif"/>
                  <w:b w:val="false"/>
                  <w:color w:val="0000FF"/>
                  <w:sz w:val="20"/>
                  <w:u w:val="single"/>
                </w:rPr>
                <w:t>Other Information</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489690a56894ff1bb8cabbd2cc0cf60_145">
              <w:r>
                <w:rPr>
                  <w:rStyle w:val="InternetLink"/>
                  <w:rFonts w:ascii="Times New Roman;serif" w:hAnsi="Times New Roman;serif"/>
                  <w:b w:val="false"/>
                  <w:strike w:val="false"/>
                  <w:dstrike w:val="false"/>
                  <w:color w:val="0000FF"/>
                  <w:sz w:val="20"/>
                  <w:u w:val="none"/>
                  <w:effect w:val="none"/>
                </w:rPr>
                <w:t>54</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89690a56894ff1bb8cabbd2cc0cf60_148">
              <w:r>
                <w:rPr>
                  <w:rStyle w:val="InternetLink"/>
                  <w:rFonts w:ascii="Times New Roman;serif" w:hAnsi="Times New Roman;serif"/>
                  <w:b w:val="false"/>
                  <w:color w:val="0000FF"/>
                  <w:sz w:val="20"/>
                  <w:u w:val="single"/>
                </w:rPr>
                <w:t>Exhibits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489690a56894ff1bb8cabbd2cc0cf60_148">
              <w:r>
                <w:rPr>
                  <w:rStyle w:val="InternetLink"/>
                  <w:rFonts w:ascii="Times New Roman;serif" w:hAnsi="Times New Roman;serif"/>
                  <w:b w:val="false"/>
                  <w:strike w:val="false"/>
                  <w:dstrike w:val="false"/>
                  <w:color w:val="0000FF"/>
                  <w:sz w:val="20"/>
                  <w:u w:val="none"/>
                  <w:effect w:val="none"/>
                </w:rPr>
                <w:t>56</w:t>
              </w:r>
            </w:hyperlink>
          </w:p>
        </w:tc>
      </w:tr>
      <w:tr>
        <w:trPr/>
        <w:tc>
          <w:tcPr>
            <w:tcW w:w="958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7"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6489690a56894ff1bb8cabbd2cc0cf60_151">
              <w:r>
                <w:rPr>
                  <w:rStyle w:val="InternetLink"/>
                  <w:rFonts w:ascii="Times New Roman;serif" w:hAnsi="Times New Roman;serif"/>
                  <w:b w:val="false"/>
                  <w:color w:val="0000FF"/>
                  <w:sz w:val="20"/>
                  <w:u w:val="single"/>
                </w:rPr>
                <w:t>Signatures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489690a56894ff1bb8cabbd2cc0cf60_151">
              <w:r>
                <w:rPr>
                  <w:rStyle w:val="InternetLink"/>
                  <w:rFonts w:ascii="Times New Roman;serif" w:hAnsi="Times New Roman;serif"/>
                  <w:b w:val="false"/>
                  <w:strike w:val="false"/>
                  <w:dstrike w:val="false"/>
                  <w:color w:val="0000FF"/>
                  <w:sz w:val="20"/>
                  <w:u w:val="none"/>
                  <w:effect w:val="none"/>
                </w:rPr>
                <w:t>57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tbl>
      <w:tblPr>
        <w:tblW w:w="10205" w:type="dxa"/>
        <w:jc w:val="center"/>
        <w:tblInd w:w="0" w:type="dxa"/>
        <w:tblLayout w:type="fixed"/>
        <w:tblCellMar>
          <w:top w:w="28" w:type="dxa"/>
          <w:left w:w="28" w:type="dxa"/>
          <w:bottom w:w="28" w:type="dxa"/>
          <w:right w:w="28" w:type="dxa"/>
        </w:tblCellMar>
      </w:tblPr>
      <w:tblGrid>
        <w:gridCol w:w="2586"/>
        <w:gridCol w:w="2014"/>
        <w:gridCol w:w="2032"/>
        <w:gridCol w:w="150"/>
        <w:gridCol w:w="150"/>
        <w:gridCol w:w="151"/>
        <w:gridCol w:w="109"/>
        <w:gridCol w:w="109"/>
        <w:gridCol w:w="109"/>
        <w:gridCol w:w="196"/>
        <w:gridCol w:w="886"/>
        <w:gridCol w:w="109"/>
        <w:gridCol w:w="109"/>
        <w:gridCol w:w="109"/>
        <w:gridCol w:w="109"/>
        <w:gridCol w:w="202"/>
        <w:gridCol w:w="914"/>
        <w:gridCol w:w="161"/>
      </w:tblGrid>
      <w:tr>
        <w:trPr/>
        <w:tc>
          <w:tcPr>
            <w:tcW w:w="2586"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As of</w:t>
            </w:r>
          </w:p>
        </w:tc>
      </w:tr>
      <w:tr>
        <w:trPr/>
        <w:tc>
          <w:tcPr>
            <w:tcW w:w="6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December 31, 2025</w:t>
            </w:r>
          </w:p>
        </w:tc>
      </w:tr>
      <w:tr>
        <w:trPr/>
        <w:tc>
          <w:tcPr>
            <w:tcW w:w="6632"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6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Assets</w:t>
            </w:r>
          </w:p>
        </w:tc>
        <w:tc>
          <w:tcPr>
            <w:tcW w:w="4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Current assets:</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146,326 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Short-term investments</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157,102 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182,041 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Restricted cash</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12,392 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 net</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434,362 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343,105 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current assets</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144,132 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146,093 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current assets</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875,282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829,957</w:t>
            </w:r>
            <w:r>
              <w:rPr>
                <w:color w:val="000000"/>
              </w:rPr>
              <w:t>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Property and equipment, net</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114,587 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111,821 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right-of-use assets</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97,411 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Restricted cash</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7,251 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tax assets, net</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139,288 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129,968 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Goodwill</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418,693 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419,654 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intangible assets, net</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36,204 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Long-term investments</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8,198 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61,771 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assets</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1,747,887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9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1,702,235</w:t>
            </w:r>
            <w:r>
              <w:rPr>
                <w:color w:val="000000"/>
              </w:rPr>
              <w:t>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Liabilities and stockholders’ equity</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Current liabilities:</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4,753 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portion of long-term borrowings</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381,155 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4,886 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revenue</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15,356 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employee costs</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146,775 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expenses and other current liabilities</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135,498 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portion of operating lease liabilities</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16,857 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6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current liabilities</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703,646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324,125</w:t>
            </w:r>
            <w:r>
              <w:rPr>
                <w:color w:val="000000"/>
              </w:rPr>
              <w:t>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Long-term borrowings, less current portion</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293,712 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liabilities, less current portion</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88,167 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tax liabilities, net</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non-current liabilities</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81,401 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liabilities</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881,645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789,530</w:t>
            </w:r>
            <w:r>
              <w:rPr>
                <w:color w:val="000000"/>
              </w:rPr>
              <w:t>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Commitments and contingencies</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Stockholders’ equity:</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$0.001 par value; 15,000,000 shares authorized, none issued</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Common stock, $0.001 par value; 400,000,000 shares authorized, 210,101,885 shares issued and 151,745,072 shares outstanding as of June 30, 2026 and 208,855,566 shares issued and 156,430,028 shares outstanding as of December 31, 2025</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Additional paid-in capital</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724,432 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677,562 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Retained earnings</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1,664,571 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1,532,979 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other comprehensive loss</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(223,682)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(180,727)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including shares held in treasury</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2,165,531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2,030,023</w:t>
            </w:r>
            <w:r>
              <w:rPr>
                <w:color w:val="000000"/>
              </w:rPr>
              <w:t>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Less: 58,356,813 shares as of June 30, 2026 and 52,425,538 shares as of December 31, 2025, held in treasury, at cost</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(1,299,289)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(1,117,318)</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stockholders’ equity</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866,242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912,705</w:t>
            </w:r>
            <w:r>
              <w:rPr>
                <w:color w:val="000000"/>
              </w:rPr>
              <w:t>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 xml:space="preserve">Total liabilities and stockholders’ equity </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1,747,887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9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1,702,235</w:t>
            </w:r>
            <w:r>
              <w:rPr>
                <w:color w:val="000000"/>
              </w:rPr>
              <w:t>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INCOME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91"/>
        <w:gridCol w:w="988"/>
        <w:gridCol w:w="967"/>
        <w:gridCol w:w="190"/>
        <w:gridCol w:w="190"/>
        <w:gridCol w:w="191"/>
        <w:gridCol w:w="109"/>
        <w:gridCol w:w="109"/>
        <w:gridCol w:w="109"/>
        <w:gridCol w:w="241"/>
        <w:gridCol w:w="945"/>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6"/>
      </w:tblGrid>
      <w:tr>
        <w:trPr/>
        <w:tc>
          <w:tcPr>
            <w:tcW w:w="1291"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5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594,763 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514,460 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1,165,114 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1,015,479 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revenues</w:t>
            </w:r>
            <w:r>
              <w:rPr>
                <w:rFonts w:ascii="Times New Roman;serif" w:hAnsi="Times New Roman;serif"/>
                <w:b w:val="false"/>
                <w:color w:val="000000"/>
                <w:sz w:val="13"/>
              </w:rPr>
              <w:t>(1)</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627,977 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Gross profit</w:t>
            </w:r>
            <w:r>
              <w:rPr>
                <w:rFonts w:ascii="Times New Roman;serif" w:hAnsi="Times New Roman;serif"/>
                <w:b/>
                <w:color w:val="000000"/>
                <w:sz w:val="13"/>
              </w:rPr>
              <w:t>(1)</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225,963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194,188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448,044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387,502</w:t>
            </w: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227,949 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87,295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81,138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179,121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159,553</w:t>
            </w: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net</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 expense and earnings from equity affiliates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83,966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84,738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175,367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164,904</w:t>
            </w: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earnings from equity affiliates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64,540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66,192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131,623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132,862</w:t>
            </w: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equity-method investment</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64,511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66,051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131,592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132,612</w:t>
            </w: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used in computing earnings per share:</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152,554,401 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162,925,484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154,292,120 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162,709,034</w:t>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152,831,994 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164,193,258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154,858,444 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164,376,498</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(1) Exclusive of depreciation and amortization expense.</w:t>
      </w:r>
    </w:p>
    <w:p>
      <w:pPr>
        <w:pStyle w:val="TextBody"/>
        <w:bidi w:val="0"/>
        <w:spacing w:before="0" w:after="0"/>
        <w:jc w:val="both"/>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138" w:type="dxa"/>
        <w:jc w:val="center"/>
        <w:tblInd w:w="0" w:type="dxa"/>
        <w:tblLayout w:type="fixed"/>
        <w:tblCellMar>
          <w:top w:w="28" w:type="dxa"/>
          <w:left w:w="28" w:type="dxa"/>
          <w:bottom w:w="28" w:type="dxa"/>
          <w:right w:w="28" w:type="dxa"/>
        </w:tblCellMar>
      </w:tblPr>
      <w:tblGrid>
        <w:gridCol w:w="1329"/>
        <w:gridCol w:w="1165"/>
        <w:gridCol w:w="1180"/>
        <w:gridCol w:w="190"/>
        <w:gridCol w:w="190"/>
        <w:gridCol w:w="191"/>
        <w:gridCol w:w="109"/>
        <w:gridCol w:w="109"/>
        <w:gridCol w:w="109"/>
        <w:gridCol w:w="221"/>
        <w:gridCol w:w="774"/>
        <w:gridCol w:w="114"/>
        <w:gridCol w:w="114"/>
        <w:gridCol w:w="114"/>
        <w:gridCol w:w="114"/>
        <w:gridCol w:w="221"/>
        <w:gridCol w:w="774"/>
        <w:gridCol w:w="114"/>
        <w:gridCol w:w="109"/>
        <w:gridCol w:w="109"/>
        <w:gridCol w:w="109"/>
        <w:gridCol w:w="211"/>
        <w:gridCol w:w="826"/>
        <w:gridCol w:w="109"/>
        <w:gridCol w:w="109"/>
        <w:gridCol w:w="109"/>
        <w:gridCol w:w="109"/>
        <w:gridCol w:w="211"/>
        <w:gridCol w:w="841"/>
        <w:gridCol w:w="154"/>
      </w:tblGrid>
      <w:tr>
        <w:trPr/>
        <w:tc>
          <w:tcPr>
            <w:tcW w:w="132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64,511 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66,051 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132,612 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Other comprehensive income/(loss):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gain/(loss) on cash flow hedges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benefits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Reclassification adjustments: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(Gain)/loss on cash flow hedges</w:t>
            </w:r>
            <w:r>
              <w:rPr>
                <w:rFonts w:ascii="Times New Roman;serif" w:hAnsi="Times New Roman;serif"/>
                <w:b w:val="false"/>
                <w:color w:val="000000"/>
                <w:sz w:val="13"/>
              </w:rPr>
              <w:t>(1)</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Retirement benefits</w:t>
            </w:r>
            <w:r>
              <w:rPr>
                <w:rFonts w:ascii="Times New Roman;serif" w:hAnsi="Times New Roman;serif"/>
                <w:b w:val="false"/>
                <w:color w:val="000000"/>
                <w:sz w:val="13"/>
              </w:rPr>
              <w:t>(2)</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Income tax effects relating to above</w:t>
            </w:r>
            <w:r>
              <w:rPr>
                <w:rFonts w:ascii="Times New Roman;serif" w:hAnsi="Times New Roman;serif"/>
                <w:b/>
                <w:color w:val="000000"/>
                <w:sz w:val="13"/>
              </w:rPr>
              <w:t>(3)</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 other comprehensive income/(loss)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13,692</w:t>
            </w:r>
            <w:r>
              <w:rPr>
                <w:color w:val="000000"/>
              </w:rPr>
              <w:t>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8,353</w:t>
            </w:r>
            <w:r>
              <w:rPr>
                <w:color w:val="000000"/>
              </w:rPr>
              <w:t>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(42,955)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20,288</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income</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78,203</w:t>
            </w:r>
            <w:r>
              <w:rPr>
                <w:color w:val="000000"/>
              </w:rPr>
              <w:t>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74,404</w:t>
            </w:r>
            <w:r>
              <w:rPr>
                <w:color w:val="000000"/>
              </w:rPr>
              <w:t>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88,637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152,900</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ind w:left="0" w:right="0" w:hanging="450"/>
        <w:jc w:val="both"/>
        <w:rPr/>
      </w:pPr>
      <w:r>
        <w:rPr>
          <w:rFonts w:ascii="Times New Roman;serif" w:hAnsi="Times New Roman;serif"/>
          <w:b w:val="false"/>
          <w:i/>
          <w:color w:val="000000"/>
          <w:sz w:val="16"/>
        </w:rPr>
        <w:t>(1)</w:t>
      </w:r>
      <w:r>
        <w:rPr>
          <w:rFonts w:ascii="Times New Roman;serif" w:hAnsi="Times New Roman;serif"/>
          <w:b w:val="false"/>
          <w:i/>
          <w:color w:val="000000"/>
          <w:sz w:val="18"/>
        </w:rPr>
        <w:t>These are reclassified to net income and are included in revenues, net, cost of revenues and operating expenses, as applicable in the unaudited consolidated statements of income.</w:t>
      </w:r>
    </w:p>
    <w:p>
      <w:pPr>
        <w:pStyle w:val="TextBody"/>
        <w:bidi w:val="0"/>
        <w:spacing w:before="0" w:after="0"/>
        <w:ind w:left="0" w:right="0" w:hanging="270"/>
        <w:jc w:val="both"/>
        <w:rPr/>
      </w:pPr>
      <w:r>
        <w:rPr/>
      </w:r>
    </w:p>
    <w:p>
      <w:pPr>
        <w:pStyle w:val="TextBody"/>
        <w:bidi w:val="0"/>
        <w:spacing w:lineRule="auto" w:line="276" w:before="0" w:after="0"/>
        <w:ind w:left="0" w:right="0" w:hanging="450"/>
        <w:jc w:val="both"/>
        <w:rPr/>
      </w:pPr>
      <w:r>
        <w:rPr>
          <w:rFonts w:ascii="Times New Roman;serif" w:hAnsi="Times New Roman;serif"/>
          <w:b w:val="false"/>
          <w:i/>
          <w:color w:val="000000"/>
          <w:sz w:val="16"/>
        </w:rPr>
        <w:t>(2)</w:t>
      </w:r>
      <w:r>
        <w:rPr>
          <w:rFonts w:ascii="Times New Roman;serif" w:hAnsi="Times New Roman;serif"/>
          <w:b w:val="false"/>
          <w:i/>
          <w:color w:val="000000"/>
          <w:sz w:val="18"/>
        </w:rPr>
        <w:t>These are reclassified to net income and are included in other income, net in the unaudited consolidated statements of income.</w:t>
      </w:r>
    </w:p>
    <w:p>
      <w:pPr>
        <w:pStyle w:val="TextBody"/>
        <w:bidi w:val="0"/>
        <w:spacing w:before="0" w:after="0"/>
        <w:ind w:left="0" w:right="0" w:hanging="270"/>
        <w:jc w:val="both"/>
        <w:rPr/>
      </w:pPr>
      <w:r>
        <w:rPr/>
      </w:r>
    </w:p>
    <w:p>
      <w:pPr>
        <w:pStyle w:val="TextBody"/>
        <w:bidi w:val="0"/>
        <w:spacing w:lineRule="auto" w:line="276" w:before="0" w:after="0"/>
        <w:ind w:left="0" w:right="0" w:hanging="450"/>
        <w:jc w:val="both"/>
        <w:rPr/>
      </w:pPr>
      <w:r>
        <w:rPr>
          <w:rFonts w:ascii="Times New Roman;serif" w:hAnsi="Times New Roman;serif"/>
          <w:b w:val="false"/>
          <w:i/>
          <w:color w:val="000000"/>
          <w:sz w:val="16"/>
        </w:rPr>
        <w:t>(3)</w:t>
      </w:r>
      <w:r>
        <w:rPr>
          <w:rFonts w:ascii="Times New Roman;serif" w:hAnsi="Times New Roman;serif"/>
          <w:b w:val="false"/>
          <w:i/>
          <w:color w:val="000000"/>
          <w:sz w:val="18"/>
        </w:rPr>
        <w:t>These are income tax effects recognized on cash flow hedges, retirement benefits and currency translation adjustments.</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180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 2026 and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count)</w:t>
      </w:r>
    </w:p>
    <w:p>
      <w:pPr>
        <w:pStyle w:val="TextBody"/>
        <w:bidi w:val="0"/>
        <w:spacing w:before="0" w:after="0"/>
        <w:jc w:val="center"/>
        <w:rPr/>
      </w:pPr>
      <w:r>
        <w:rPr/>
      </w:r>
    </w:p>
    <w:p>
      <w:pPr>
        <w:pStyle w:val="TextBody"/>
        <w:bidi w:val="0"/>
        <w:spacing w:before="0" w:after="0"/>
        <w:jc w:val="center"/>
        <w:rPr/>
      </w:pPr>
      <w:r>
        <w:rPr/>
      </w:r>
    </w:p>
    <w:tbl>
      <w:tblPr>
        <w:tblW w:w="13446" w:type="dxa"/>
        <w:jc w:val="left"/>
        <w:tblInd w:w="0" w:type="dxa"/>
        <w:tblLayout w:type="fixed"/>
        <w:tblCellMar>
          <w:top w:w="28" w:type="dxa"/>
          <w:left w:w="28" w:type="dxa"/>
          <w:bottom w:w="28" w:type="dxa"/>
          <w:right w:w="28" w:type="dxa"/>
        </w:tblCellMar>
      </w:tblPr>
      <w:tblGrid>
        <w:gridCol w:w="730"/>
        <w:gridCol w:w="220"/>
        <w:gridCol w:w="221"/>
        <w:gridCol w:w="170"/>
        <w:gridCol w:w="170"/>
        <w:gridCol w:w="171"/>
        <w:gridCol w:w="109"/>
        <w:gridCol w:w="109"/>
        <w:gridCol w:w="109"/>
        <w:gridCol w:w="533"/>
        <w:gridCol w:w="533"/>
        <w:gridCol w:w="196"/>
        <w:gridCol w:w="109"/>
        <w:gridCol w:w="109"/>
        <w:gridCol w:w="109"/>
        <w:gridCol w:w="196"/>
        <w:gridCol w:w="436"/>
        <w:gridCol w:w="109"/>
        <w:gridCol w:w="109"/>
        <w:gridCol w:w="109"/>
        <w:gridCol w:w="109"/>
        <w:gridCol w:w="196"/>
        <w:gridCol w:w="751"/>
        <w:gridCol w:w="109"/>
        <w:gridCol w:w="109"/>
        <w:gridCol w:w="109"/>
        <w:gridCol w:w="109"/>
        <w:gridCol w:w="196"/>
        <w:gridCol w:w="886"/>
        <w:gridCol w:w="109"/>
        <w:gridCol w:w="109"/>
        <w:gridCol w:w="109"/>
        <w:gridCol w:w="109"/>
        <w:gridCol w:w="225"/>
        <w:gridCol w:w="864"/>
        <w:gridCol w:w="127"/>
        <w:gridCol w:w="109"/>
        <w:gridCol w:w="109"/>
        <w:gridCol w:w="109"/>
        <w:gridCol w:w="488"/>
        <w:gridCol w:w="488"/>
        <w:gridCol w:w="196"/>
        <w:gridCol w:w="109"/>
        <w:gridCol w:w="109"/>
        <w:gridCol w:w="109"/>
        <w:gridCol w:w="196"/>
        <w:gridCol w:w="886"/>
        <w:gridCol w:w="109"/>
        <w:gridCol w:w="109"/>
        <w:gridCol w:w="109"/>
        <w:gridCol w:w="109"/>
        <w:gridCol w:w="196"/>
        <w:gridCol w:w="751"/>
        <w:gridCol w:w="109"/>
        <w:gridCol w:w="109"/>
        <w:gridCol w:w="154"/>
      </w:tblGrid>
      <w:tr>
        <w:trPr/>
        <w:tc>
          <w:tcPr>
            <w:tcW w:w="73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March 31, 2026</w:t>
            </w:r>
          </w:p>
        </w:tc>
        <w:tc>
          <w:tcPr>
            <w:tcW w:w="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209,929,764</w:t>
            </w: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674,662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1,600,060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(237,374)</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(56,930,339)</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(1,258,754)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778,804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issued against stock-based compensation plans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172,121 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treasury stock</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(626,514)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share repurchases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5, 19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(799,960)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Excise tax on repurchase of common stock, net of stock issuances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13,692 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June 30, 2026</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210,101,885</w:t>
            </w:r>
            <w:r>
              <w:rPr>
                <w:color w:val="000000"/>
              </w:rPr>
              <w:t>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724,432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1,664,571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(223,682)</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(58,356,813)</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(1,299,289)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866,242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3228" w:type="dxa"/>
        <w:jc w:val="left"/>
        <w:tblInd w:w="0" w:type="dxa"/>
        <w:tblLayout w:type="fixed"/>
        <w:tblCellMar>
          <w:top w:w="28" w:type="dxa"/>
          <w:left w:w="28" w:type="dxa"/>
          <w:bottom w:w="28" w:type="dxa"/>
          <w:right w:w="28" w:type="dxa"/>
        </w:tblCellMar>
      </w:tblPr>
      <w:tblGrid>
        <w:gridCol w:w="730"/>
        <w:gridCol w:w="220"/>
        <w:gridCol w:w="221"/>
        <w:gridCol w:w="170"/>
        <w:gridCol w:w="170"/>
        <w:gridCol w:w="171"/>
        <w:gridCol w:w="109"/>
        <w:gridCol w:w="109"/>
        <w:gridCol w:w="109"/>
        <w:gridCol w:w="533"/>
        <w:gridCol w:w="533"/>
        <w:gridCol w:w="196"/>
        <w:gridCol w:w="109"/>
        <w:gridCol w:w="109"/>
        <w:gridCol w:w="109"/>
        <w:gridCol w:w="196"/>
        <w:gridCol w:w="436"/>
        <w:gridCol w:w="109"/>
        <w:gridCol w:w="109"/>
        <w:gridCol w:w="109"/>
        <w:gridCol w:w="109"/>
        <w:gridCol w:w="196"/>
        <w:gridCol w:w="751"/>
        <w:gridCol w:w="109"/>
        <w:gridCol w:w="109"/>
        <w:gridCol w:w="109"/>
        <w:gridCol w:w="109"/>
        <w:gridCol w:w="196"/>
        <w:gridCol w:w="886"/>
        <w:gridCol w:w="109"/>
        <w:gridCol w:w="109"/>
        <w:gridCol w:w="109"/>
        <w:gridCol w:w="109"/>
        <w:gridCol w:w="225"/>
        <w:gridCol w:w="864"/>
        <w:gridCol w:w="127"/>
        <w:gridCol w:w="109"/>
        <w:gridCol w:w="109"/>
        <w:gridCol w:w="109"/>
        <w:gridCol w:w="488"/>
        <w:gridCol w:w="488"/>
        <w:gridCol w:w="196"/>
        <w:gridCol w:w="109"/>
        <w:gridCol w:w="109"/>
        <w:gridCol w:w="109"/>
        <w:gridCol w:w="196"/>
        <w:gridCol w:w="751"/>
        <w:gridCol w:w="109"/>
        <w:gridCol w:w="109"/>
        <w:gridCol w:w="109"/>
        <w:gridCol w:w="109"/>
        <w:gridCol w:w="196"/>
        <w:gridCol w:w="886"/>
        <w:gridCol w:w="154"/>
      </w:tblGrid>
      <w:tr>
        <w:trPr/>
        <w:tc>
          <w:tcPr>
            <w:tcW w:w="73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March 31, 2025</w:t>
            </w:r>
          </w:p>
        </w:tc>
        <w:tc>
          <w:tcPr>
            <w:tcW w:w="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207,758,497</w:t>
            </w: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609,592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1,348,521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(142,787)</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(45,075,154)</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(803,656)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1,011,877</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issued against stock-based compensation plans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treasury stock</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(906,150)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Excise tax on repurchase of common stock, net of stock issuances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8,353 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June 30, 2025</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207,810,635</w:t>
            </w:r>
            <w:r>
              <w:rPr>
                <w:color w:val="000000"/>
              </w:rPr>
              <w:t>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625,984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1,414,572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(134,434)</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(45,981,304)</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(845,379)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1,060,950</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132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1320" w:after="283"/>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six months ended June 30, 2026 and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count)</w:t>
      </w:r>
    </w:p>
    <w:p>
      <w:pPr>
        <w:pStyle w:val="TextBody"/>
        <w:bidi w:val="0"/>
        <w:spacing w:before="0" w:after="0"/>
        <w:jc w:val="center"/>
        <w:rPr/>
      </w:pPr>
      <w:r>
        <w:rPr/>
      </w:r>
    </w:p>
    <w:tbl>
      <w:tblPr>
        <w:tblW w:w="13664" w:type="dxa"/>
        <w:jc w:val="center"/>
        <w:tblInd w:w="0" w:type="dxa"/>
        <w:tblLayout w:type="fixed"/>
        <w:tblCellMar>
          <w:top w:w="28" w:type="dxa"/>
          <w:left w:w="28" w:type="dxa"/>
          <w:bottom w:w="28" w:type="dxa"/>
          <w:right w:w="28" w:type="dxa"/>
        </w:tblCellMar>
      </w:tblPr>
      <w:tblGrid>
        <w:gridCol w:w="634"/>
        <w:gridCol w:w="268"/>
        <w:gridCol w:w="269"/>
        <w:gridCol w:w="170"/>
        <w:gridCol w:w="170"/>
        <w:gridCol w:w="171"/>
        <w:gridCol w:w="109"/>
        <w:gridCol w:w="109"/>
        <w:gridCol w:w="109"/>
        <w:gridCol w:w="533"/>
        <w:gridCol w:w="533"/>
        <w:gridCol w:w="196"/>
        <w:gridCol w:w="109"/>
        <w:gridCol w:w="109"/>
        <w:gridCol w:w="109"/>
        <w:gridCol w:w="196"/>
        <w:gridCol w:w="436"/>
        <w:gridCol w:w="109"/>
        <w:gridCol w:w="109"/>
        <w:gridCol w:w="109"/>
        <w:gridCol w:w="109"/>
        <w:gridCol w:w="196"/>
        <w:gridCol w:w="751"/>
        <w:gridCol w:w="109"/>
        <w:gridCol w:w="109"/>
        <w:gridCol w:w="109"/>
        <w:gridCol w:w="109"/>
        <w:gridCol w:w="196"/>
        <w:gridCol w:w="886"/>
        <w:gridCol w:w="109"/>
        <w:gridCol w:w="109"/>
        <w:gridCol w:w="109"/>
        <w:gridCol w:w="109"/>
        <w:gridCol w:w="225"/>
        <w:gridCol w:w="864"/>
        <w:gridCol w:w="127"/>
        <w:gridCol w:w="109"/>
        <w:gridCol w:w="109"/>
        <w:gridCol w:w="109"/>
        <w:gridCol w:w="488"/>
        <w:gridCol w:w="488"/>
        <w:gridCol w:w="196"/>
        <w:gridCol w:w="109"/>
        <w:gridCol w:w="109"/>
        <w:gridCol w:w="109"/>
        <w:gridCol w:w="196"/>
        <w:gridCol w:w="886"/>
        <w:gridCol w:w="109"/>
        <w:gridCol w:w="109"/>
        <w:gridCol w:w="109"/>
        <w:gridCol w:w="109"/>
        <w:gridCol w:w="109"/>
        <w:gridCol w:w="109"/>
        <w:gridCol w:w="109"/>
        <w:gridCol w:w="109"/>
        <w:gridCol w:w="196"/>
        <w:gridCol w:w="751"/>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2025</w:t>
            </w:r>
          </w:p>
        </w:tc>
        <w:tc>
          <w:tcPr>
            <w:tcW w:w="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208,855,566</w:t>
            </w: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677,562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1,532,979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(180,727)</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(52,425,538)</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(1,117,318)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912,705</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issued against stock-based compensation plans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1,246,319 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treasury stock</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(1,784,595)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share repurchases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5, 19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(4,146,680)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(121,727)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Excise tax on repurchase of common stock, net of stock issuances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(42,955)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June 30, 2026</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210,101,885</w:t>
            </w:r>
            <w:r>
              <w:rPr>
                <w:color w:val="000000"/>
              </w:rPr>
              <w:t>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724,432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1,664,571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(223,682)</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(58,356,813)</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(1,299,289)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866,242</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tbl>
      <w:tblPr>
        <w:tblW w:w="13228" w:type="dxa"/>
        <w:jc w:val="center"/>
        <w:tblInd w:w="0" w:type="dxa"/>
        <w:tblLayout w:type="fixed"/>
        <w:tblCellMar>
          <w:top w:w="28" w:type="dxa"/>
          <w:left w:w="28" w:type="dxa"/>
          <w:bottom w:w="28" w:type="dxa"/>
          <w:right w:w="28" w:type="dxa"/>
        </w:tblCellMar>
      </w:tblPr>
      <w:tblGrid>
        <w:gridCol w:w="634"/>
        <w:gridCol w:w="268"/>
        <w:gridCol w:w="269"/>
        <w:gridCol w:w="170"/>
        <w:gridCol w:w="170"/>
        <w:gridCol w:w="171"/>
        <w:gridCol w:w="109"/>
        <w:gridCol w:w="109"/>
        <w:gridCol w:w="109"/>
        <w:gridCol w:w="533"/>
        <w:gridCol w:w="533"/>
        <w:gridCol w:w="196"/>
        <w:gridCol w:w="109"/>
        <w:gridCol w:w="109"/>
        <w:gridCol w:w="109"/>
        <w:gridCol w:w="196"/>
        <w:gridCol w:w="436"/>
        <w:gridCol w:w="109"/>
        <w:gridCol w:w="109"/>
        <w:gridCol w:w="109"/>
        <w:gridCol w:w="109"/>
        <w:gridCol w:w="196"/>
        <w:gridCol w:w="751"/>
        <w:gridCol w:w="109"/>
        <w:gridCol w:w="109"/>
        <w:gridCol w:w="109"/>
        <w:gridCol w:w="109"/>
        <w:gridCol w:w="196"/>
        <w:gridCol w:w="886"/>
        <w:gridCol w:w="109"/>
        <w:gridCol w:w="109"/>
        <w:gridCol w:w="109"/>
        <w:gridCol w:w="109"/>
        <w:gridCol w:w="225"/>
        <w:gridCol w:w="864"/>
        <w:gridCol w:w="127"/>
        <w:gridCol w:w="109"/>
        <w:gridCol w:w="109"/>
        <w:gridCol w:w="109"/>
        <w:gridCol w:w="488"/>
        <w:gridCol w:w="488"/>
        <w:gridCol w:w="196"/>
        <w:gridCol w:w="109"/>
        <w:gridCol w:w="109"/>
        <w:gridCol w:w="109"/>
        <w:gridCol w:w="196"/>
        <w:gridCol w:w="751"/>
        <w:gridCol w:w="109"/>
        <w:gridCol w:w="109"/>
        <w:gridCol w:w="109"/>
        <w:gridCol w:w="109"/>
        <w:gridCol w:w="196"/>
        <w:gridCol w:w="886"/>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2024</w:t>
            </w:r>
          </w:p>
        </w:tc>
        <w:tc>
          <w:tcPr>
            <w:tcW w:w="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206,510,587</w:t>
            </w: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588,583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1,281,960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(154,722)</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(44,709,375)</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(786,165)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929,862</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issued against stock-based compensation plans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1,300,048 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treasury stock</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(1,271,929)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Excise tax on repurchase of common stock, net of stock issuances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20,288 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June 30, 2025</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207,810,635</w:t>
            </w:r>
            <w:r>
              <w:rPr>
                <w:color w:val="000000"/>
              </w:rPr>
              <w:t>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625,984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1,414,572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(134,434)</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(45,981,304)</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(845,379)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1,060,950</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132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8382" w:type="dxa"/>
        <w:jc w:val="center"/>
        <w:tblInd w:w="0" w:type="dxa"/>
        <w:tblLayout w:type="fixed"/>
        <w:tblCellMar>
          <w:top w:w="28" w:type="dxa"/>
          <w:left w:w="28" w:type="dxa"/>
          <w:bottom w:w="28" w:type="dxa"/>
          <w:right w:w="28" w:type="dxa"/>
        </w:tblCellMar>
      </w:tblPr>
      <w:tblGrid>
        <w:gridCol w:w="2097"/>
        <w:gridCol w:w="1839"/>
        <w:gridCol w:w="1853"/>
        <w:gridCol w:w="196"/>
        <w:gridCol w:w="751"/>
        <w:gridCol w:w="109"/>
        <w:gridCol w:w="109"/>
        <w:gridCol w:w="109"/>
        <w:gridCol w:w="109"/>
        <w:gridCol w:w="196"/>
        <w:gridCol w:w="751"/>
        <w:gridCol w:w="109"/>
        <w:gridCol w:w="154"/>
      </w:tblGrid>
      <w:tr>
        <w:trPr/>
        <w:tc>
          <w:tcPr>
            <w:tcW w:w="2097"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Reduction in the carrying amount of operating lease right-of-use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mark-to-market on investments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foreign currency exchange (gain)/loss,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benefit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Others,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operating assets and liabilities: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and non-current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Deferred revenue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employee costs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and other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property and equipment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investments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redemption of investments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equity affiliate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for investing activities</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(36,287)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of finance lease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borrowings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borrowings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treasury stock</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for financing activities</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(84,552)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cash equivalents and restricted cash</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(19,197)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the beginning of the period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the end of the period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146,772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170,525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during the period for:</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 of non-cash investing and financing activities: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property and equipment not yet paid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acquired under finance lease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June 30,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Organization</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ExlService Holdings, Inc. (“ExlService Holdings”) is organized as a corporation under the laws of the State of Delaware. ExlService Holdings, together with its subsidiaries and affiliates (collectively, the “Company”), is a global data and artificial intelligence (“AI”) company that offers services and solutions to reinvent client business models, drive better outcomes and unlock growth with speed. The Company harnesses the power of data, AI, and deep industry knowledge to transform businesses, including the world’s leading corporations in industries including insurance, healthcare and life sciences, banking and capital markets, retail, communications and media, and energy and infrastructure, among others.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clients are located principally in the United States of America (“U.S.”) and the United Kingdom (“U.K”).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360" w:after="283"/>
        <w:ind w:left="0" w:right="0" w:hanging="270"/>
        <w:jc w:val="both"/>
        <w:rPr>
          <w:rFonts w:ascii="Times New Roman;serif" w:hAnsi="Times New Roman;serif"/>
          <w:b/>
          <w:i/>
          <w:color w:val="000000"/>
          <w:sz w:val="20"/>
        </w:rPr>
      </w:pPr>
      <w:r>
        <w:rPr>
          <w:rFonts w:ascii="Times New Roman;serif" w:hAnsi="Times New Roman;serif"/>
          <w:b/>
          <w:i/>
          <w:color w:val="000000"/>
          <w:sz w:val="20"/>
        </w:rPr>
        <w:t>(a)Basis of Preparation and Principles of Consolidation</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unaudited consolidated financial statements have been prepared in conformity with United States generally accepted accounting principles (“U.S. GAAP”) for interim financial information, the instructions to Form 10-Q and Article 10 of Regulation S-X. Accordingly, they do not include all of the information and footnotes required by U.S. GAAP for annual financial statements and therefore should be read in conjunction with the audited consolidated financial statements and footnotes thereto included in the Company’s Annual Report on Form 10-K for the fiscal year ended December 31, 2025.</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unaudited consolidated financial statements reflect all adjustments (of a normal and recurring nature) that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consolidated financial statements include the financial statements of ExlService Holdings and all of its subsidiaries. The standalone financial statements of subsidiaries are fully consolidated on a line-by-line basis. All intercompany balances and transactions are eliminated in consolidation. The Company’s investments in equity affiliates are recorded using equity method of accounting.</w:t>
      </w:r>
    </w:p>
    <w:p>
      <w:pPr>
        <w:pStyle w:val="TextBody"/>
        <w:bidi w:val="0"/>
        <w:spacing w:before="0" w:after="0"/>
        <w:ind w:left="0" w:right="0" w:firstLine="450"/>
        <w:jc w:val="both"/>
        <w:rPr/>
      </w:pPr>
      <w:r>
        <w:rPr/>
      </w:r>
    </w:p>
    <w:p>
      <w:pPr>
        <w:pStyle w:val="TextBody"/>
        <w:bidi w:val="0"/>
        <w:spacing w:lineRule="auto" w:line="288" w:before="0" w:after="0"/>
        <w:ind w:left="0" w:right="0" w:hanging="270"/>
        <w:jc w:val="both"/>
        <w:rPr>
          <w:rFonts w:ascii="Times New Roman;serif" w:hAnsi="Times New Roman;serif"/>
          <w:b/>
          <w:i/>
          <w:color w:val="000000"/>
          <w:sz w:val="20"/>
        </w:rPr>
      </w:pPr>
      <w:r>
        <w:rPr>
          <w:rFonts w:ascii="Times New Roman;serif" w:hAnsi="Times New Roman;serif"/>
          <w:b/>
          <w:i/>
          <w:color w:val="000000"/>
          <w:sz w:val="20"/>
        </w:rPr>
        <w:t>(b)Use of Estimates</w:t>
      </w:r>
    </w:p>
    <w:p>
      <w:pPr>
        <w:pStyle w:val="TextBody"/>
        <w:bidi w:val="0"/>
        <w:spacing w:before="0" w:after="0"/>
        <w:ind w:left="0" w:right="0" w:firstLine="9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preparation of the unaudited consolidated financial statements in conformity with U.S. GAAP requires management to make estimates and assumptions that affect the carrying amounts of assets and liabilities and disclosure of contingent assets and liabilities included in the unaudited consolidated financial statements. Although these estimates are based on management’s best assessment of the current business environment, actual results may be different from those estimates. The significant estimates that affect the unaudited consolidated financial statements include, but are not limited to, estimates of the contingent consideration, credit risk of customers, the nature and timing of the satisfaction of performance obligations, the standalone selling price of performance obligations, variable consideration in a customer contract, expected recoverability from customers with contingent fee arrangements, estimated costs to complete fixed price contracts, assets and obligations related to employee benefit plans, deferred tax valuation allowances, income-tax uncertainties and other contingencies, valuation of derivative financial instruments and stock-based awards, and useful life of long-lived assets and other intangible assets. The significant assumptions underneath these estimates include, but are not limited to assumptions to calculate stock-based compensation expense, determine pattern of generation of economic benefits to calculate depreciation and amortization for long-lived assets and other intangible assets, and recoverability of long-lived assets, goodwill and other intangible assets.</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88" w:before="0" w:after="0"/>
        <w:ind w:left="0" w:right="0" w:hanging="270"/>
        <w:jc w:val="both"/>
        <w:rPr>
          <w:rFonts w:ascii="Times New Roman;serif" w:hAnsi="Times New Roman;serif"/>
          <w:b/>
          <w:i/>
          <w:color w:val="000000"/>
          <w:sz w:val="20"/>
        </w:rPr>
      </w:pPr>
      <w:r>
        <w:rPr>
          <w:rFonts w:ascii="Times New Roman;serif" w:hAnsi="Times New Roman;serif"/>
          <w:b/>
          <w:i/>
          <w:color w:val="000000"/>
          <w:sz w:val="20"/>
        </w:rPr>
        <w:t>(c)Recent Accounting Pronouncements</w:t>
      </w:r>
    </w:p>
    <w:p>
      <w:pPr>
        <w:pStyle w:val="TextBody"/>
        <w:bidi w:val="0"/>
        <w:spacing w:before="0" w:after="0"/>
        <w:ind w:left="0" w:right="0" w:firstLine="90"/>
        <w:jc w:val="both"/>
        <w:rPr/>
      </w:pPr>
      <w:r>
        <w:rPr/>
      </w:r>
    </w:p>
    <w:p>
      <w:pPr>
        <w:pStyle w:val="TextBody"/>
        <w:bidi w:val="0"/>
        <w:spacing w:lineRule="auto" w:line="268" w:before="0" w:after="0"/>
        <w:ind w:left="0" w:right="0" w:firstLine="450"/>
        <w:jc w:val="both"/>
        <w:rPr/>
      </w:pPr>
      <w:r>
        <w:rPr>
          <w:rFonts w:ascii="Times New Roman;serif" w:hAnsi="Times New Roman;serif"/>
          <w:b w:val="false"/>
          <w:color w:val="000000"/>
          <w:sz w:val="20"/>
        </w:rPr>
        <w:t xml:space="preserve">In November 2024, the Financial Accounting Standards Board (“FASB”) issued Accounting Standards Update (“ASU”) No. 2024-03, </w:t>
      </w:r>
      <w:r>
        <w:rPr>
          <w:rFonts w:ascii="Times New Roman;serif" w:hAnsi="Times New Roman;serif"/>
          <w:b w:val="false"/>
          <w:i/>
          <w:color w:val="000000"/>
          <w:sz w:val="20"/>
        </w:rPr>
        <w:t>Income Statement - Reporting Comprehensive Income (“ASC Topic 220”): Expense Disaggregation Disclosures</w:t>
      </w:r>
      <w:r>
        <w:rPr>
          <w:rFonts w:ascii="Times New Roman;serif" w:hAnsi="Times New Roman;serif"/>
          <w:b w:val="false"/>
          <w:color w:val="000000"/>
          <w:sz w:val="20"/>
        </w:rPr>
        <w:t>. This ASU improves disclosures relating to the disaggregation of income statement expenses, requires additional disclosures about the nature of expenses in commonly presented financial statement captions on an annual and interim basis for all public business entities. The ASU will be effective for annual reporting periods beginning after December 15, 2026, and interim periods within annual reporting periods beginning after December 15, 2027, with early adoption permitted. The Company is currently evaluating the impact of this ASU on its consolidated financial statements.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pP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Intangibles—Goodwill and Other—Internal-Use Software (Subtopic 350-40)</w:t>
      </w:r>
      <w:r>
        <w:rPr>
          <w:rFonts w:ascii="Times New Roman;serif" w:hAnsi="Times New Roman;serif"/>
          <w:b w:val="false"/>
          <w:color w:val="000000"/>
          <w:sz w:val="20"/>
        </w:rPr>
        <w:t>. This ASU enhances the guidance for internal-use software development costs by removing references to project stages and simplifying the criteria for when capitalization of software development costs shall begin. The ASU will be effective for annual reporting periods beginning after December 15, 2027, including interim periods within those years, with early adoption permitted. The Company is currently evaluating the impact of this ASU on its consolidated financial statements.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pPr>
      <w:r>
        <w:rPr>
          <w:rFonts w:ascii="Times New Roman;serif" w:hAnsi="Times New Roman;serif"/>
          <w:b w:val="false"/>
          <w:color w:val="000000"/>
          <w:sz w:val="20"/>
        </w:rPr>
        <w:t xml:space="preserve">In December 2025, the FASB issued ASU No. 2025-10, </w:t>
      </w:r>
      <w:r>
        <w:rPr>
          <w:rFonts w:ascii="Times New Roman;serif" w:hAnsi="Times New Roman;serif"/>
          <w:b w:val="false"/>
          <w:i/>
          <w:color w:val="000000"/>
          <w:sz w:val="20"/>
        </w:rPr>
        <w:t>Government Grants (“ASC Topic 832”): Accounting for Government Grants Received by Business Entities</w:t>
      </w:r>
      <w:r>
        <w:rPr>
          <w:rFonts w:ascii="Times New Roman;serif" w:hAnsi="Times New Roman;serif"/>
          <w:b w:val="false"/>
          <w:color w:val="000000"/>
          <w:sz w:val="20"/>
        </w:rPr>
        <w:t>. This ASU provides authoritative guidance on the recognition, measurement, presentation, and disclosure of government grants for business entities, creating a framework that previously did not exist under U.S. GAAP. The ASU will be effective for annual reporting periods beginning after December 15, 2028, including interim periods within those years, with early adoption permitted. The Company is currently evaluating the impact of this ASU on its consolidated financial statements.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pPr>
      <w:r>
        <w:rPr>
          <w:rFonts w:ascii="Times New Roman;serif" w:hAnsi="Times New Roman;serif"/>
          <w:b w:val="false"/>
          <w:color w:val="000000"/>
          <w:sz w:val="20"/>
        </w:rPr>
        <w:t xml:space="preserve">In December 2025, the FASB issued ASU No. 2025-11, </w:t>
      </w:r>
      <w:r>
        <w:rPr>
          <w:rFonts w:ascii="Times New Roman;serif" w:hAnsi="Times New Roman;serif"/>
          <w:b w:val="false"/>
          <w:i/>
          <w:color w:val="000000"/>
          <w:sz w:val="20"/>
        </w:rPr>
        <w:t>Interim Reporting (“ASC Topic 270”): Narrow-Scope Improvements</w:t>
      </w:r>
      <w:r>
        <w:rPr>
          <w:rFonts w:ascii="Times New Roman;serif" w:hAnsi="Times New Roman;serif"/>
          <w:b w:val="false"/>
          <w:color w:val="000000"/>
          <w:sz w:val="20"/>
        </w:rPr>
        <w:t>. This ASU provides a comprehensive list of interim disclosures that are required by U.S. GAAP and incorporates disclosure principle of material events or changes occurred since the prior year-end. The ASU will be effective for interim reporting periods within annual reporting periods beginning after December 15, 2027, with early adoption permitted. The Company is currently evaluating the impact of this ASU on its consolidated financial statements.</w:t>
      </w:r>
    </w:p>
    <w:p>
      <w:pPr>
        <w:pStyle w:val="TextBody"/>
        <w:bidi w:val="0"/>
        <w:spacing w:lineRule="auto" w:line="288" w:before="0" w:after="0"/>
        <w:ind w:left="0" w:right="0" w:firstLine="90"/>
        <w:jc w:val="both"/>
        <w:rPr>
          <w:color w:val="000000"/>
        </w:rPr>
      </w:pPr>
      <w:r>
        <w:rPr>
          <w:color w:val="000000"/>
        </w:rPr>
        <w:t>    </w:t>
      </w:r>
    </w:p>
    <w:p>
      <w:pPr>
        <w:pStyle w:val="TextBody"/>
        <w:bidi w:val="0"/>
        <w:spacing w:lineRule="auto" w:line="288" w:before="0" w:after="0"/>
        <w:ind w:left="0" w:right="0" w:hanging="270"/>
        <w:jc w:val="both"/>
        <w:rPr/>
      </w:pPr>
      <w:r>
        <w:rPr>
          <w:rFonts w:ascii="Times New Roman;serif" w:hAnsi="Times New Roman;serif"/>
          <w:b/>
          <w:color w:val="000000"/>
          <w:sz w:val="20"/>
        </w:rPr>
        <w:t>(d)</w:t>
      </w:r>
      <w:r>
        <w:rPr>
          <w:rFonts w:ascii="Times New Roman;serif" w:hAnsi="Times New Roman;serif"/>
          <w:b/>
          <w:i/>
          <w:color w:val="000000"/>
          <w:sz w:val="20"/>
        </w:rPr>
        <w:t>Recently Adopted and Applicable Accounting Pronouncements</w:t>
      </w:r>
    </w:p>
    <w:p>
      <w:pPr>
        <w:pStyle w:val="TextBody"/>
        <w:bidi w:val="0"/>
        <w:spacing w:before="0" w:after="0"/>
        <w:ind w:left="0" w:right="0" w:firstLine="90"/>
        <w:jc w:val="both"/>
        <w:rPr/>
      </w:pPr>
      <w:r>
        <w:rPr/>
      </w:r>
    </w:p>
    <w:p>
      <w:pPr>
        <w:pStyle w:val="TextBody"/>
        <w:bidi w:val="0"/>
        <w:spacing w:lineRule="auto" w:line="268" w:before="0" w:after="0"/>
        <w:ind w:left="0" w:right="0" w:firstLine="450"/>
        <w:jc w:val="both"/>
        <w:rPr/>
      </w:pPr>
      <w:r>
        <w:rPr>
          <w:rFonts w:ascii="Times New Roman;serif" w:hAnsi="Times New Roman;serif"/>
          <w:b w:val="false"/>
          <w:color w:val="000000"/>
          <w:sz w:val="20"/>
        </w:rPr>
        <w:t xml:space="preserve">In July 2025, the FASB issued ASU No. 2025-05, </w:t>
      </w:r>
      <w:r>
        <w:rPr>
          <w:rFonts w:ascii="Times New Roman;serif" w:hAnsi="Times New Roman;serif"/>
          <w:b w:val="false"/>
          <w:i/>
          <w:color w:val="000000"/>
          <w:sz w:val="20"/>
        </w:rPr>
        <w:t>Financial Instruments—Credit Losses (“ASC Topic 326”): Measurement of Credit Losses for Accounts Receivable and Contract Assets</w:t>
      </w:r>
      <w:r>
        <w:rPr>
          <w:rFonts w:ascii="Times New Roman;serif" w:hAnsi="Times New Roman;serif"/>
          <w:b w:val="false"/>
          <w:color w:val="000000"/>
          <w:sz w:val="20"/>
        </w:rPr>
        <w:t>. This ASU provides a practical expedient when estimating expected credit losses for current accounts receivable and current contract assets arising from transactions accounted for under ASC Topic 606. The ASU is effective for annual reporting periods beginning after December 15, 2025, including interim periods within those years, with early adoption permitted. The Company has adopted this ASU beginning January 1, 2026. The adoption of this ASU did not have a material impact on the Company’s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3. Segment Information</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is a provider of data and AI-led solutions and services and digital operations solutions and services in an integrated manner for clients across industry verticals.</w:t>
      </w:r>
    </w:p>
    <w:p>
      <w:pPr>
        <w:pStyle w:val="TextBody"/>
        <w:bidi w:val="0"/>
        <w:spacing w:before="0" w:after="0"/>
        <w:ind w:left="0" w:right="0" w:firstLine="45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operating model is comprised of Industry Market Units (“IMUs”) to focus on delivering higher value to clients leveraging full suite of capabilities and Strategic Growth Units to focus on rapidly advancing the capabilities specific to various industries and client needs. The Company manages and reports financial information through its four reportable segments that are aligned to its IMUs: Insurance, Healthcare and Life Sciences, Banking, Capital Markets and Diversified Industries, and International Growth Markets, which reflects the manner in which the Company’s Chief Operating Decision Maker (“CODM”) reviews financial information and makes operating decisions.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Chief Executive Officer has been identified as the CODM. The CODM generally reviews and uses financial information such as revenues, cost of revenues, and gross profit predominantly in the annual budgeting and forecasting process to allocate an overall budget, measure segment performance, and evaluate pricing strategy. The CODM considers budget-to-actuals variances on a quarterly basis for making decisions about the allocation of operating and capital resources to each segment.</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Revenues, net and cost of revenues for the three months ended June 30, 2026 and 2025, respectively, for each of the reportable segments, are as follows:</w:t>
      </w:r>
    </w:p>
    <w:p>
      <w:pPr>
        <w:pStyle w:val="TextBody"/>
        <w:bidi w:val="0"/>
        <w:spacing w:before="0" w:after="0"/>
        <w:ind w:left="0" w:right="0" w:firstLine="450"/>
        <w:jc w:val="both"/>
        <w:rPr/>
      </w:pPr>
      <w:r>
        <w:rPr/>
      </w:r>
    </w:p>
    <w:tbl>
      <w:tblPr>
        <w:tblW w:w="10205" w:type="dxa"/>
        <w:jc w:val="left"/>
        <w:tblInd w:w="0" w:type="dxa"/>
        <w:tblLayout w:type="fixed"/>
        <w:tblCellMar>
          <w:top w:w="28" w:type="dxa"/>
          <w:left w:w="28" w:type="dxa"/>
          <w:bottom w:w="28" w:type="dxa"/>
          <w:right w:w="28" w:type="dxa"/>
        </w:tblCellMar>
      </w:tblPr>
      <w:tblGrid>
        <w:gridCol w:w="851"/>
        <w:gridCol w:w="717"/>
        <w:gridCol w:w="573"/>
        <w:gridCol w:w="211"/>
        <w:gridCol w:w="826"/>
        <w:gridCol w:w="109"/>
        <w:gridCol w:w="109"/>
        <w:gridCol w:w="109"/>
        <w:gridCol w:w="109"/>
        <w:gridCol w:w="244"/>
        <w:gridCol w:w="957"/>
        <w:gridCol w:w="126"/>
        <w:gridCol w:w="109"/>
        <w:gridCol w:w="109"/>
        <w:gridCol w:w="109"/>
        <w:gridCol w:w="299"/>
        <w:gridCol w:w="1174"/>
        <w:gridCol w:w="154"/>
        <w:gridCol w:w="109"/>
        <w:gridCol w:w="109"/>
        <w:gridCol w:w="109"/>
        <w:gridCol w:w="248"/>
        <w:gridCol w:w="974"/>
        <w:gridCol w:w="128"/>
        <w:gridCol w:w="109"/>
        <w:gridCol w:w="109"/>
        <w:gridCol w:w="109"/>
        <w:gridCol w:w="211"/>
        <w:gridCol w:w="826"/>
        <w:gridCol w:w="109"/>
        <w:gridCol w:w="160"/>
      </w:tblGrid>
      <w:tr>
        <w:trPr/>
        <w:tc>
          <w:tcPr>
            <w:tcW w:w="85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2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4"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160" w:type="dxa"/>
            <w:tcBorders/>
          </w:tcPr>
          <w:p>
            <w:pPr>
              <w:pStyle w:val="TableContents"/>
              <w:bidi w:val="0"/>
              <w:spacing w:before="0" w:after="283"/>
              <w:jc w:val="left"/>
              <w:rPr>
                <w:sz w:val="4"/>
                <w:szCs w:val="4"/>
              </w:rPr>
            </w:pPr>
            <w:r>
              <w:rPr>
                <w:sz w:val="4"/>
                <w:szCs w:val="4"/>
              </w:rPr>
            </w:r>
          </w:p>
        </w:tc>
      </w:tr>
      <w:tr>
        <w:trPr/>
        <w:tc>
          <w:tcPr>
            <w:tcW w:w="2141" w:type="dxa"/>
            <w:gridSpan w:val="3"/>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Insurance</w:t>
            </w:r>
          </w:p>
        </w:tc>
        <w:tc>
          <w:tcPr>
            <w:tcW w:w="327" w:type="dxa"/>
            <w:gridSpan w:val="3"/>
            <w:vMerge w:val="restart"/>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vMerge w:val="restart"/>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Healthcare and Life Sciences</w:t>
            </w:r>
          </w:p>
        </w:tc>
        <w:tc>
          <w:tcPr>
            <w:tcW w:w="327" w:type="dxa"/>
            <w:gridSpan w:val="3"/>
            <w:vMerge w:val="restart"/>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vMerge w:val="restart"/>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Banking, Capital Markets and Diversified Industries </w:t>
            </w:r>
          </w:p>
        </w:tc>
        <w:tc>
          <w:tcPr>
            <w:tcW w:w="327" w:type="dxa"/>
            <w:gridSpan w:val="3"/>
            <w:vMerge w:val="restart"/>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vMerge w:val="restart"/>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International Growth Markets</w:t>
            </w:r>
          </w:p>
        </w:tc>
        <w:tc>
          <w:tcPr>
            <w:tcW w:w="327" w:type="dxa"/>
            <w:gridSpan w:val="3"/>
            <w:vMerge w:val="restart"/>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c>
          <w:tcPr>
            <w:tcW w:w="160" w:type="dxa"/>
            <w:tcBorders/>
          </w:tcPr>
          <w:p>
            <w:pPr>
              <w:pStyle w:val="TableContents"/>
              <w:bidi w:val="0"/>
              <w:spacing w:before="0" w:after="283"/>
              <w:jc w:val="left"/>
              <w:rPr>
                <w:sz w:val="4"/>
                <w:szCs w:val="4"/>
              </w:rPr>
            </w:pPr>
            <w:r>
              <w:rPr>
                <w:sz w:val="4"/>
                <w:szCs w:val="4"/>
              </w:rPr>
            </w:r>
          </w:p>
        </w:tc>
      </w:tr>
      <w:tr>
        <w:trPr/>
        <w:tc>
          <w:tcPr>
            <w:tcW w:w="214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146" w:type="dxa"/>
            <w:gridSpan w:val="3"/>
            <w:vMerge w:val="continue"/>
            <w:tcBorders>
              <w:top w:val="single" w:sz="8" w:space="0" w:color="000000"/>
            </w:tcBorders>
            <w:shd w:fill="CCEEFF" w:val="clear"/>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CCEEFF" w:val="clear"/>
            <w:tcMar>
              <w:left w:w="0" w:type="dxa"/>
              <w:bottom w:w="0" w:type="dxa"/>
              <w:right w:w="0" w:type="dxa"/>
            </w:tcMar>
            <w:vAlign w:val="center"/>
          </w:tcPr>
          <w:p>
            <w:pPr>
              <w:pStyle w:val="Normal"/>
              <w:bidi w:val="0"/>
              <w:jc w:val="left"/>
              <w:rPr/>
            </w:pPr>
            <w:r>
              <w:rPr/>
            </w:r>
          </w:p>
        </w:tc>
        <w:tc>
          <w:tcPr>
            <w:tcW w:w="1327" w:type="dxa"/>
            <w:gridSpan w:val="3"/>
            <w:vMerge w:val="continue"/>
            <w:tcBorders>
              <w:top w:val="single" w:sz="8" w:space="0" w:color="000000"/>
            </w:tcBorders>
            <w:shd w:fill="CCEEFF" w:val="clear"/>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CCEEFF" w:val="clear"/>
            <w:tcMar>
              <w:left w:w="0" w:type="dxa"/>
              <w:bottom w:w="0" w:type="dxa"/>
              <w:right w:w="0" w:type="dxa"/>
            </w:tcMar>
            <w:vAlign w:val="center"/>
          </w:tcPr>
          <w:p>
            <w:pPr>
              <w:pStyle w:val="Normal"/>
              <w:bidi w:val="0"/>
              <w:jc w:val="left"/>
              <w:rPr/>
            </w:pPr>
            <w:r>
              <w:rPr/>
            </w:r>
          </w:p>
        </w:tc>
        <w:tc>
          <w:tcPr>
            <w:tcW w:w="1627" w:type="dxa"/>
            <w:gridSpan w:val="3"/>
            <w:vMerge w:val="continue"/>
            <w:tcBorders>
              <w:top w:val="single" w:sz="8" w:space="0" w:color="000000"/>
            </w:tcBorders>
            <w:shd w:fill="CCEEFF" w:val="clear"/>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CCEEFF" w:val="clear"/>
            <w:tcMar>
              <w:left w:w="0" w:type="dxa"/>
              <w:bottom w:w="0" w:type="dxa"/>
              <w:right w:w="0" w:type="dxa"/>
            </w:tcMar>
            <w:vAlign w:val="center"/>
          </w:tcPr>
          <w:p>
            <w:pPr>
              <w:pStyle w:val="Normal"/>
              <w:bidi w:val="0"/>
              <w:jc w:val="left"/>
              <w:rPr/>
            </w:pPr>
            <w:r>
              <w:rPr/>
            </w:r>
          </w:p>
        </w:tc>
        <w:tc>
          <w:tcPr>
            <w:tcW w:w="1350" w:type="dxa"/>
            <w:gridSpan w:val="3"/>
            <w:vMerge w:val="continue"/>
            <w:tcBorders>
              <w:top w:val="single" w:sz="8" w:space="0" w:color="000000"/>
            </w:tcBorders>
            <w:shd w:fill="CCEEFF" w:val="clear"/>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CCEEFF" w:val="clear"/>
            <w:tcMar>
              <w:left w:w="0" w:type="dxa"/>
              <w:bottom w:w="0" w:type="dxa"/>
              <w:right w:w="0" w:type="dxa"/>
            </w:tcMar>
            <w:vAlign w:val="center"/>
          </w:tcPr>
          <w:p>
            <w:pPr>
              <w:pStyle w:val="Normal"/>
              <w:bidi w:val="0"/>
              <w:jc w:val="left"/>
              <w:rPr/>
            </w:pPr>
            <w:r>
              <w:rPr/>
            </w:r>
          </w:p>
        </w:tc>
        <w:tc>
          <w:tcPr>
            <w:tcW w:w="1146" w:type="dxa"/>
            <w:gridSpan w:val="3"/>
            <w:vMerge w:val="continue"/>
            <w:tcBorders>
              <w:top w:val="single" w:sz="8" w:space="0" w:color="000000"/>
            </w:tcBorders>
            <w:shd w:fill="CCEEFF" w:val="clear"/>
            <w:tcMar>
              <w:top w:w="52" w:type="dxa"/>
              <w:left w:w="0" w:type="dxa"/>
              <w:bottom w:w="0" w:type="dxa"/>
              <w:right w:w="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157,968 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133,856 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105,156 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594,763 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2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revenues</w:t>
            </w:r>
            <w:r>
              <w:rPr>
                <w:rFonts w:ascii="Times New Roman;serif" w:hAnsi="Times New Roman;serif"/>
                <w:b w:val="false"/>
                <w:color w:val="000000"/>
                <w:sz w:val="13"/>
              </w:rPr>
              <w:t>(1)</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2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Employee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66,942 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54,530 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2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Infrastructure and technology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2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Other costs</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2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Gross profit</w:t>
            </w:r>
            <w:r>
              <w:rPr>
                <w:rFonts w:ascii="Times New Roman;serif" w:hAnsi="Times New Roman;serif"/>
                <w:b w:val="false"/>
                <w:color w:val="000000"/>
                <w:sz w:val="13"/>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74,045 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46,607 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36,917 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2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138,668 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2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2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net, interest expense and other income,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2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 and earnings from equity affiliates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21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(1) Exclusive of depreciation and amortization expense.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(2) Other costs primarily include travel and entertainment costs and other direct pass-through expenses related to client contracts for the Company’s direct marketing business.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75"/>
        <w:gridCol w:w="746"/>
        <w:gridCol w:w="601"/>
        <w:gridCol w:w="211"/>
        <w:gridCol w:w="826"/>
        <w:gridCol w:w="109"/>
        <w:gridCol w:w="109"/>
        <w:gridCol w:w="109"/>
        <w:gridCol w:w="109"/>
        <w:gridCol w:w="248"/>
        <w:gridCol w:w="971"/>
        <w:gridCol w:w="128"/>
        <w:gridCol w:w="109"/>
        <w:gridCol w:w="109"/>
        <w:gridCol w:w="109"/>
        <w:gridCol w:w="309"/>
        <w:gridCol w:w="1211"/>
        <w:gridCol w:w="159"/>
        <w:gridCol w:w="109"/>
        <w:gridCol w:w="109"/>
        <w:gridCol w:w="109"/>
        <w:gridCol w:w="265"/>
        <w:gridCol w:w="906"/>
        <w:gridCol w:w="137"/>
        <w:gridCol w:w="109"/>
        <w:gridCol w:w="109"/>
        <w:gridCol w:w="109"/>
        <w:gridCol w:w="211"/>
        <w:gridCol w:w="826"/>
        <w:gridCol w:w="158"/>
      </w:tblGrid>
      <w:tr>
        <w:trPr/>
        <w:tc>
          <w:tcPr>
            <w:tcW w:w="87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Insurance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Healthcare and Life Sciences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Banking, Capital Markets and Diversified Industries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International Growth Markets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Revenues, net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129,489 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121,089 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91,708 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514,460 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Cost of revenues</w:t>
            </w:r>
            <w:r>
              <w:rPr>
                <w:rFonts w:ascii="Times New Roman;serif" w:hAnsi="Times New Roman;serif"/>
                <w:b w:val="false"/>
                <w:color w:val="000000"/>
                <w:sz w:val="12"/>
              </w:rPr>
              <w:t>(1)</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9"/>
              </w:rPr>
              <w:t>Employee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60,972 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272,137 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9"/>
              </w:rPr>
              <w:t>Infrastructure and technology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9"/>
              </w:rPr>
              <w:t>Other costs</w:t>
            </w:r>
            <w:r>
              <w:rPr>
                <w:rFonts w:ascii="Times New Roman;serif" w:hAnsi="Times New Roman;serif"/>
                <w:b w:val="false"/>
                <w:color w:val="000000"/>
                <w:sz w:val="12"/>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Gross profit</w:t>
            </w:r>
            <w:r>
              <w:rPr>
                <w:rFonts w:ascii="Times New Roman;serif" w:hAnsi="Times New Roman;serif"/>
                <w:b w:val="false"/>
                <w:color w:val="000000"/>
                <w:sz w:val="12"/>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56,384 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45,719 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32,219 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194,188 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expenses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113,050 </w:t>
            </w:r>
          </w:p>
        </w:tc>
        <w:tc>
          <w:tcPr>
            <w:tcW w:w="15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from operations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81,138 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Foreign exchange gain, net, interest expense and other income,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before income tax expense and earnings from equity affiliates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84,738 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(1) Exclusive of depreciation and amortization expense.</w:t>
      </w:r>
    </w:p>
    <w:p>
      <w:pPr>
        <w:pStyle w:val="TextBody"/>
        <w:bidi w:val="0"/>
        <w:spacing w:before="0" w:after="0"/>
        <w:ind w:left="0" w:right="0" w:hanging="27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(2) Other costs primarily include travel and entertainment costs and other direct pass-through expenses related to client contracts for the Company’s direct marketing business.</w:t>
      </w:r>
    </w:p>
    <w:p>
      <w:pPr>
        <w:pStyle w:val="TextBody"/>
        <w:bidi w:val="0"/>
        <w:spacing w:before="0" w:after="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Revenues and cost of revenues for the six months ended June 30, 2026 and 2025, respectively, for each of the reportable segments, are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44"/>
        <w:gridCol w:w="711"/>
        <w:gridCol w:w="566"/>
        <w:gridCol w:w="211"/>
        <w:gridCol w:w="826"/>
        <w:gridCol w:w="109"/>
        <w:gridCol w:w="109"/>
        <w:gridCol w:w="109"/>
        <w:gridCol w:w="109"/>
        <w:gridCol w:w="243"/>
        <w:gridCol w:w="954"/>
        <w:gridCol w:w="125"/>
        <w:gridCol w:w="109"/>
        <w:gridCol w:w="109"/>
        <w:gridCol w:w="109"/>
        <w:gridCol w:w="297"/>
        <w:gridCol w:w="1165"/>
        <w:gridCol w:w="153"/>
        <w:gridCol w:w="109"/>
        <w:gridCol w:w="109"/>
        <w:gridCol w:w="109"/>
        <w:gridCol w:w="247"/>
        <w:gridCol w:w="970"/>
        <w:gridCol w:w="128"/>
        <w:gridCol w:w="109"/>
        <w:gridCol w:w="109"/>
        <w:gridCol w:w="109"/>
        <w:gridCol w:w="211"/>
        <w:gridCol w:w="976"/>
        <w:gridCol w:w="161"/>
      </w:tblGrid>
      <w:tr>
        <w:trPr/>
        <w:tc>
          <w:tcPr>
            <w:tcW w:w="84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2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Insurance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Healthcare and Life Sciences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Banking, Capital Markets and Diversified Industries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International Growth Markets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2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391,713 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309,888 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261,249 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202,264 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1,165,114 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revenues</w:t>
            </w:r>
            <w:r>
              <w:rPr>
                <w:rFonts w:ascii="Times New Roman;serif" w:hAnsi="Times New Roman;serif"/>
                <w:b w:val="false"/>
                <w:color w:val="000000"/>
                <w:sz w:val="13"/>
              </w:rPr>
              <w:t>(1)</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Employee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133,828 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142,632 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106,299 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588,680 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Infrastructure and technology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Other costs</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43,466 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Gross profit</w:t>
            </w:r>
            <w:r>
              <w:rPr>
                <w:rFonts w:ascii="Times New Roman;serif" w:hAnsi="Times New Roman;serif"/>
                <w:b w:val="false"/>
                <w:color w:val="000000"/>
                <w:sz w:val="13"/>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142,857 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93,606 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70,059 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448,044 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268,923 </w:t>
            </w:r>
          </w:p>
        </w:tc>
        <w:tc>
          <w:tcPr>
            <w:tcW w:w="16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179,121 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net, interest expense and other income,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 and earnings from equity affiliates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175,367 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(1) Exclusive of depreciation and amortization expense.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(2) Other costs primarily include travel and entertainment costs and other direct pass-through expenses related to client contracts for the Company’s direct marketing business.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41"/>
        <w:gridCol w:w="715"/>
        <w:gridCol w:w="566"/>
        <w:gridCol w:w="211"/>
        <w:gridCol w:w="826"/>
        <w:gridCol w:w="109"/>
        <w:gridCol w:w="109"/>
        <w:gridCol w:w="109"/>
        <w:gridCol w:w="109"/>
        <w:gridCol w:w="243"/>
        <w:gridCol w:w="954"/>
        <w:gridCol w:w="125"/>
        <w:gridCol w:w="109"/>
        <w:gridCol w:w="109"/>
        <w:gridCol w:w="109"/>
        <w:gridCol w:w="297"/>
        <w:gridCol w:w="1165"/>
        <w:gridCol w:w="153"/>
        <w:gridCol w:w="109"/>
        <w:gridCol w:w="109"/>
        <w:gridCol w:w="109"/>
        <w:gridCol w:w="247"/>
        <w:gridCol w:w="970"/>
        <w:gridCol w:w="128"/>
        <w:gridCol w:w="109"/>
        <w:gridCol w:w="109"/>
        <w:gridCol w:w="109"/>
        <w:gridCol w:w="211"/>
        <w:gridCol w:w="976"/>
        <w:gridCol w:w="160"/>
      </w:tblGrid>
      <w:tr>
        <w:trPr/>
        <w:tc>
          <w:tcPr>
            <w:tcW w:w="84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2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Insurance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Healthcare and Life Sciences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Banking, Capital Markets and Diversified Industries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International Growth Markets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2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Revenues, net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255,081 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238,791 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177,377 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1,015,479 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Cost of revenues</w:t>
            </w:r>
            <w:r>
              <w:rPr>
                <w:rFonts w:ascii="Times New Roman;serif" w:hAnsi="Times New Roman;serif"/>
                <w:b w:val="false"/>
                <w:color w:val="000000"/>
                <w:sz w:val="12"/>
              </w:rPr>
              <w:t>(1)</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9"/>
              </w:rPr>
              <w:t>Employee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119,896 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130,452 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94,457 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530,724 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9"/>
              </w:rPr>
              <w:t>Infrastructure and technology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69,422 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9"/>
              </w:rPr>
              <w:t>Other costs</w:t>
            </w:r>
            <w:r>
              <w:rPr>
                <w:rFonts w:ascii="Times New Roman;serif" w:hAnsi="Times New Roman;serif"/>
                <w:b w:val="false"/>
                <w:color w:val="000000"/>
                <w:sz w:val="12"/>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Gross profit</w:t>
            </w:r>
            <w:r>
              <w:rPr>
                <w:rFonts w:ascii="Times New Roman;serif" w:hAnsi="Times New Roman;serif"/>
                <w:b w:val="false"/>
                <w:color w:val="000000"/>
                <w:sz w:val="12"/>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111,464 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89,672 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63,611 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387,502 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expenses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227,949 </w:t>
            </w:r>
          </w:p>
        </w:tc>
        <w:tc>
          <w:tcPr>
            <w:tcW w:w="16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from operations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159,553 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Foreign exchange gain, net, interest expense and other income,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before income tax expense and earnings from equity affiliates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164,904 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(1) Exclusive of depreciation and amortization expense.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(2) Other costs primarily include travel and entertainment costs and other direct pass-through expenses related to client contracts for the Company’s direct marketing business.</w:t>
      </w:r>
    </w:p>
    <w:p>
      <w:pPr>
        <w:pStyle w:val="TextBody"/>
        <w:bidi w:val="0"/>
        <w:spacing w:before="0" w:after="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Revenues, net by service type, were as follows:</w:t>
      </w:r>
    </w:p>
    <w:p>
      <w:pPr>
        <w:pStyle w:val="TextBody"/>
        <w:bidi w:val="0"/>
        <w:spacing w:before="0" w:after="0"/>
        <w:ind w:left="0" w:right="0" w:firstLine="450"/>
        <w:jc w:val="left"/>
        <w:rPr/>
      </w:pPr>
      <w:r>
        <w:rPr/>
      </w:r>
    </w:p>
    <w:tbl>
      <w:tblPr>
        <w:tblW w:w="7664" w:type="dxa"/>
        <w:jc w:val="left"/>
        <w:tblInd w:w="0" w:type="dxa"/>
        <w:tblLayout w:type="fixed"/>
        <w:tblCellMar>
          <w:top w:w="28" w:type="dxa"/>
          <w:left w:w="28" w:type="dxa"/>
          <w:bottom w:w="28" w:type="dxa"/>
          <w:right w:w="28" w:type="dxa"/>
        </w:tblCellMar>
      </w:tblPr>
      <w:tblGrid>
        <w:gridCol w:w="636"/>
        <w:gridCol w:w="558"/>
        <w:gridCol w:w="560"/>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Data and AI-led</w:t>
            </w:r>
            <w:r>
              <w:rPr>
                <w:rFonts w:ascii="Times New Roman;serif" w:hAnsi="Times New Roman;serif"/>
                <w:b w:val="false"/>
                <w:color w:val="000000"/>
                <w:sz w:val="13"/>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704,180 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546,699 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Digital operations</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594,763 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514,460 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1,165,114 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1,015,479 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450"/>
        <w:jc w:val="center"/>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(1) Data and AI-led revenue is derived from the Company’s Data Management, Analytics, AI services and solutions businesses. It includes revenue from fully integrated business operations like payment integrity services and platform-based solutions and services, which combine operations, technology, data, analytics, and AI. It also includes revenue from operations that embed data and AI within clients’ operational workflows.</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(2) Digital operations revenue is derived from managed services that blend Company’s deep domain expertise with industry-specific solutions and services to operate clients’ business functions with enhanced productivity, greater speed and improved accuracy. These digital operations deployments form the foundation for future client transformation opportunities to infuse AI into client workflows and unlock even greater value.</w:t>
      </w:r>
    </w:p>
    <w:p>
      <w:pPr>
        <w:pStyle w:val="TextBody"/>
        <w:bidi w:val="0"/>
        <w:spacing w:before="0" w:after="0"/>
        <w:ind w:left="0" w:right="0" w:firstLine="54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All four reportable segments of the Company include revenues from both data and AI-led solutions and services and digital operations solutions and services.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attributes revenues based on geographical markets where the customer operations being served by it are located.</w:t>
      </w:r>
    </w:p>
    <w:p>
      <w:pPr>
        <w:pStyle w:val="TextBody"/>
        <w:bidi w:val="0"/>
        <w:spacing w:before="0" w:after="0"/>
        <w:ind w:left="0" w:right="0" w:firstLine="450"/>
        <w:jc w:val="left"/>
        <w:rPr/>
      </w:pPr>
      <w:r>
        <w:rPr/>
      </w:r>
    </w:p>
    <w:tbl>
      <w:tblPr>
        <w:tblW w:w="8219" w:type="dxa"/>
        <w:jc w:val="left"/>
        <w:tblInd w:w="0" w:type="dxa"/>
        <w:tblLayout w:type="fixed"/>
        <w:tblCellMar>
          <w:top w:w="28" w:type="dxa"/>
          <w:left w:w="28" w:type="dxa"/>
          <w:bottom w:w="28" w:type="dxa"/>
          <w:right w:w="28" w:type="dxa"/>
        </w:tblCellMar>
      </w:tblPr>
      <w:tblGrid>
        <w:gridCol w:w="837"/>
        <w:gridCol w:w="734"/>
        <w:gridCol w:w="738"/>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 net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 &amp; Europe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594,763 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514,460 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1,165,114 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1,015,479 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center"/>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Revenues, net by industry verticals, were as follows:</w:t>
      </w:r>
    </w:p>
    <w:p>
      <w:pPr>
        <w:pStyle w:val="TextBody"/>
        <w:bidi w:val="0"/>
        <w:spacing w:before="0" w:after="0"/>
        <w:ind w:left="0" w:right="0" w:firstLine="450"/>
        <w:jc w:val="both"/>
        <w:rPr/>
      </w:pPr>
      <w:r>
        <w:rPr/>
      </w:r>
    </w:p>
    <w:tbl>
      <w:tblPr>
        <w:tblW w:w="10205" w:type="dxa"/>
        <w:jc w:val="left"/>
        <w:tblInd w:w="0" w:type="dxa"/>
        <w:tblLayout w:type="fixed"/>
        <w:tblCellMar>
          <w:top w:w="28" w:type="dxa"/>
          <w:left w:w="28" w:type="dxa"/>
          <w:bottom w:w="28" w:type="dxa"/>
          <w:right w:w="28" w:type="dxa"/>
        </w:tblCellMar>
      </w:tblPr>
      <w:tblGrid>
        <w:gridCol w:w="1552"/>
        <w:gridCol w:w="1365"/>
        <w:gridCol w:w="1376"/>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6"/>
      </w:tblGrid>
      <w:tr>
        <w:trPr/>
        <w:tc>
          <w:tcPr>
            <w:tcW w:w="1552"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459,761 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403,583 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Healthcare and Life Sciences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Banking, Capital Markets and Diversified Industries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356,333 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594,763 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514,460 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1,165,114 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1,015,479 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Long-lived assets by geographic area, which consist of property and equipment, net and operating lease ROU assets were as follows:</w:t>
      </w:r>
    </w:p>
    <w:tbl>
      <w:tblPr>
        <w:tblW w:w="4591" w:type="dxa"/>
        <w:jc w:val="left"/>
        <w:tblInd w:w="0" w:type="dxa"/>
        <w:tblLayout w:type="fixed"/>
        <w:tblCellMar>
          <w:top w:w="28" w:type="dxa"/>
          <w:left w:w="28" w:type="dxa"/>
          <w:bottom w:w="28" w:type="dxa"/>
          <w:right w:w="28" w:type="dxa"/>
        </w:tblCellMar>
      </w:tblPr>
      <w:tblGrid>
        <w:gridCol w:w="571"/>
        <w:gridCol w:w="500"/>
        <w:gridCol w:w="503"/>
        <w:gridCol w:w="211"/>
        <w:gridCol w:w="826"/>
        <w:gridCol w:w="109"/>
        <w:gridCol w:w="109"/>
        <w:gridCol w:w="109"/>
        <w:gridCol w:w="109"/>
        <w:gridCol w:w="273"/>
        <w:gridCol w:w="1072"/>
        <w:gridCol w:w="199"/>
      </w:tblGrid>
      <w:tr>
        <w:trPr/>
        <w:tc>
          <w:tcPr>
            <w:tcW w:w="57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Long-lived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63,999 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60,575 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Philippines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36,480 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Africa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209,232 </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4. Revenues, net and Accounts Receivable, net</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Refer to Note 3 - Segment Information to the unaudited consolidated financial statements for revenues disaggregated by reportable segments, service type, geography and industry verticals.</w:t>
      </w:r>
    </w:p>
    <w:p>
      <w:pPr>
        <w:pStyle w:val="TextBody"/>
        <w:bidi w:val="0"/>
        <w:spacing w:before="0" w:after="0"/>
        <w:ind w:left="0" w:right="0" w:firstLine="450"/>
        <w:jc w:val="both"/>
        <w:rPr/>
      </w:pPr>
      <w:r>
        <w:rPr/>
      </w:r>
    </w:p>
    <w:p>
      <w:pPr>
        <w:pStyle w:val="TextBody"/>
        <w:bidi w:val="0"/>
        <w:spacing w:lineRule="auto" w:line="417"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Contract balances</w:t>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accounts receivable, contract assets and contract liabilities from contracts with customers:</w:t>
      </w:r>
    </w:p>
    <w:p>
      <w:pPr>
        <w:pStyle w:val="TextBody"/>
        <w:bidi w:val="0"/>
        <w:spacing w:before="0" w:after="0"/>
        <w:ind w:left="0" w:right="0" w:firstLine="450"/>
        <w:jc w:val="both"/>
        <w:rPr/>
      </w:pPr>
      <w:r>
        <w:rPr/>
      </w:r>
    </w:p>
    <w:tbl>
      <w:tblPr>
        <w:tblW w:w="7614" w:type="dxa"/>
        <w:jc w:val="left"/>
        <w:tblInd w:w="0" w:type="dxa"/>
        <w:tblLayout w:type="fixed"/>
        <w:tblCellMar>
          <w:top w:w="28" w:type="dxa"/>
          <w:left w:w="28" w:type="dxa"/>
          <w:bottom w:w="28" w:type="dxa"/>
          <w:right w:w="28" w:type="dxa"/>
        </w:tblCellMar>
      </w:tblPr>
      <w:tblGrid>
        <w:gridCol w:w="1644"/>
        <w:gridCol w:w="1446"/>
        <w:gridCol w:w="1454"/>
        <w:gridCol w:w="212"/>
        <w:gridCol w:w="833"/>
        <w:gridCol w:w="109"/>
        <w:gridCol w:w="109"/>
        <w:gridCol w:w="109"/>
        <w:gridCol w:w="109"/>
        <w:gridCol w:w="281"/>
        <w:gridCol w:w="1103"/>
        <w:gridCol w:w="205"/>
      </w:tblGrid>
      <w:tr>
        <w:trPr/>
        <w:tc>
          <w:tcPr>
            <w:tcW w:w="1644"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434,362 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343,105 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31,901 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(consideration received in advance)</w:t>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9,216 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Consideration received for process transition activities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Accounts receivable includes $192,342 and $141,653 as of June 30, 2026 and December 31, 2025, respectively, representing unbilled receivables. The Company has accrued the unbilled receivables for work performed in accordance with the terms of contracts with customers and considers no performance risk associated with its unbilled receivables. Contract assets as of June 30, 2026 and December 31, 2025, include receivables of $36,941 and $24,849, respectively, from payment integrity services. There are no performance risks associated with these contract assets.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were no significant cumulative catch-up impact or impairment related to contract assets as of June 30, 2026 and December 31, 2025.</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 recognized during the three and six months ended June 30, 2026 and 2025, which was included in the contract liabilities balance at the beginning of the respective periods:</w:t>
      </w:r>
    </w:p>
    <w:p>
      <w:pPr>
        <w:pStyle w:val="TextBody"/>
        <w:bidi w:val="0"/>
        <w:spacing w:before="0" w:after="0"/>
        <w:ind w:left="0" w:right="0" w:firstLine="450"/>
        <w:jc w:val="both"/>
        <w:rPr/>
      </w:pPr>
      <w:r>
        <w:rPr/>
      </w:r>
    </w:p>
    <w:tbl>
      <w:tblPr>
        <w:tblW w:w="9603" w:type="dxa"/>
        <w:jc w:val="left"/>
        <w:tblInd w:w="0" w:type="dxa"/>
        <w:tblLayout w:type="fixed"/>
        <w:tblCellMar>
          <w:top w:w="28" w:type="dxa"/>
          <w:left w:w="28" w:type="dxa"/>
          <w:bottom w:w="28" w:type="dxa"/>
          <w:right w:w="28" w:type="dxa"/>
        </w:tblCellMar>
      </w:tblPr>
      <w:tblGrid>
        <w:gridCol w:w="1647"/>
        <w:gridCol w:w="1447"/>
        <w:gridCol w:w="1451"/>
        <w:gridCol w:w="228"/>
        <w:gridCol w:w="668"/>
        <w:gridCol w:w="118"/>
        <w:gridCol w:w="118"/>
        <w:gridCol w:w="118"/>
        <w:gridCol w:w="118"/>
        <w:gridCol w:w="228"/>
        <w:gridCol w:w="668"/>
        <w:gridCol w:w="118"/>
        <w:gridCol w:w="109"/>
        <w:gridCol w:w="109"/>
        <w:gridCol w:w="109"/>
        <w:gridCol w:w="211"/>
        <w:gridCol w:w="616"/>
        <w:gridCol w:w="109"/>
        <w:gridCol w:w="109"/>
        <w:gridCol w:w="109"/>
        <w:gridCol w:w="109"/>
        <w:gridCol w:w="211"/>
        <w:gridCol w:w="721"/>
        <w:gridCol w:w="154"/>
      </w:tblGrid>
      <w:tr>
        <w:trPr/>
        <w:tc>
          <w:tcPr>
            <w:tcW w:w="1647"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(consideration received in advance)</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3,877 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Consideration received for process transition activities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37" w:before="0" w:after="0"/>
        <w:jc w:val="both"/>
        <w:rPr>
          <w:rFonts w:ascii="Times New Roman;serif" w:hAnsi="Times New Roman;serif"/>
          <w:b/>
          <w:color w:val="000000"/>
          <w:sz w:val="20"/>
          <w:u w:val="single"/>
        </w:rPr>
      </w:pPr>
      <w:r>
        <w:rPr>
          <w:rFonts w:ascii="Times New Roman;serif" w:hAnsi="Times New Roman;serif"/>
          <w:b/>
          <w:color w:val="000000"/>
          <w:sz w:val="20"/>
          <w:u w:val="single"/>
        </w:rPr>
        <w:t>Contract acquisition and fulfillment costs</w:t>
      </w:r>
    </w:p>
    <w:p>
      <w:pPr>
        <w:pStyle w:val="TextBody"/>
        <w:bidi w:val="0"/>
        <w:spacing w:before="0" w:after="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details of the Company’s contract acquisition and fulfillment costs:</w:t>
      </w:r>
    </w:p>
    <w:p>
      <w:pPr>
        <w:pStyle w:val="TextBody"/>
        <w:bidi w:val="0"/>
        <w:spacing w:before="0" w:after="0"/>
        <w:ind w:left="0" w:right="0" w:firstLine="450"/>
        <w:jc w:val="both"/>
        <w:rPr/>
      </w:pPr>
      <w:r>
        <w:rPr/>
      </w:r>
    </w:p>
    <w:tbl>
      <w:tblPr>
        <w:tblW w:w="7084" w:type="dxa"/>
        <w:jc w:val="left"/>
        <w:tblInd w:w="0" w:type="dxa"/>
        <w:tblLayout w:type="fixed"/>
        <w:tblCellMar>
          <w:top w:w="28" w:type="dxa"/>
          <w:left w:w="28" w:type="dxa"/>
          <w:bottom w:w="28" w:type="dxa"/>
          <w:right w:w="28" w:type="dxa"/>
        </w:tblCellMar>
      </w:tblPr>
      <w:tblGrid>
        <w:gridCol w:w="543"/>
        <w:gridCol w:w="477"/>
        <w:gridCol w:w="479"/>
        <w:gridCol w:w="246"/>
        <w:gridCol w:w="718"/>
        <w:gridCol w:w="127"/>
        <w:gridCol w:w="127"/>
        <w:gridCol w:w="127"/>
        <w:gridCol w:w="127"/>
        <w:gridCol w:w="246"/>
        <w:gridCol w:w="718"/>
        <w:gridCol w:w="127"/>
        <w:gridCol w:w="109"/>
        <w:gridCol w:w="109"/>
        <w:gridCol w:w="109"/>
        <w:gridCol w:w="223"/>
        <w:gridCol w:w="651"/>
        <w:gridCol w:w="115"/>
        <w:gridCol w:w="115"/>
        <w:gridCol w:w="115"/>
        <w:gridCol w:w="115"/>
        <w:gridCol w:w="223"/>
        <w:gridCol w:w="651"/>
        <w:gridCol w:w="115"/>
        <w:gridCol w:w="109"/>
        <w:gridCol w:w="109"/>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3"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Contract Acquisition Costs</w:t>
            </w:r>
          </w:p>
        </w:tc>
        <w:tc>
          <w:tcPr>
            <w:tcW w:w="372" w:type="dxa"/>
            <w:gridSpan w:val="3"/>
            <w:tcBorders/>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Opening balance</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Closing balance</w:t>
            </w:r>
          </w:p>
        </w:tc>
        <w:tc>
          <w:tcPr>
            <w:tcW w:w="2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tbl>
      <w:tblPr>
        <w:tblW w:w="7060" w:type="dxa"/>
        <w:jc w:val="left"/>
        <w:tblInd w:w="0" w:type="dxa"/>
        <w:tblLayout w:type="fixed"/>
        <w:tblCellMar>
          <w:top w:w="28" w:type="dxa"/>
          <w:left w:w="28" w:type="dxa"/>
          <w:bottom w:w="28" w:type="dxa"/>
          <w:right w:w="28" w:type="dxa"/>
        </w:tblCellMar>
      </w:tblPr>
      <w:tblGrid>
        <w:gridCol w:w="543"/>
        <w:gridCol w:w="477"/>
        <w:gridCol w:w="479"/>
        <w:gridCol w:w="224"/>
        <w:gridCol w:w="767"/>
        <w:gridCol w:w="116"/>
        <w:gridCol w:w="116"/>
        <w:gridCol w:w="116"/>
        <w:gridCol w:w="116"/>
        <w:gridCol w:w="224"/>
        <w:gridCol w:w="767"/>
        <w:gridCol w:w="116"/>
        <w:gridCol w:w="109"/>
        <w:gridCol w:w="109"/>
        <w:gridCol w:w="109"/>
        <w:gridCol w:w="211"/>
        <w:gridCol w:w="721"/>
        <w:gridCol w:w="109"/>
        <w:gridCol w:w="109"/>
        <w:gridCol w:w="109"/>
        <w:gridCol w:w="109"/>
        <w:gridCol w:w="211"/>
        <w:gridCol w:w="721"/>
        <w:gridCol w:w="109"/>
        <w:gridCol w:w="109"/>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8"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Contract Fulfillment Costs</w:t>
            </w:r>
          </w:p>
        </w:tc>
        <w:tc>
          <w:tcPr>
            <w:tcW w:w="263" w:type="dxa"/>
            <w:gridSpan w:val="2"/>
            <w:tcBorders/>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Opening balance</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38,387 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38,080 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Closing balance</w:t>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38,621 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38,938 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was no significant impairment for contract acquisition and contract fulfillment costs as of June 30, 2026 and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Allowance for expected credit losses</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accounts receivable, net of allowance for expected credit losses:</w:t>
      </w:r>
    </w:p>
    <w:p>
      <w:pPr>
        <w:pStyle w:val="TextBody"/>
        <w:bidi w:val="0"/>
        <w:spacing w:before="0" w:after="0"/>
        <w:ind w:left="0" w:right="0" w:firstLine="450"/>
        <w:jc w:val="both"/>
        <w:rPr/>
      </w:pPr>
      <w:r>
        <w:rPr/>
      </w:r>
    </w:p>
    <w:tbl>
      <w:tblPr>
        <w:tblW w:w="7419" w:type="dxa"/>
        <w:jc w:val="left"/>
        <w:tblInd w:w="0" w:type="dxa"/>
        <w:tblLayout w:type="fixed"/>
        <w:tblCellMar>
          <w:top w:w="28" w:type="dxa"/>
          <w:left w:w="28" w:type="dxa"/>
          <w:bottom w:w="28" w:type="dxa"/>
          <w:right w:w="28" w:type="dxa"/>
        </w:tblCellMar>
      </w:tblPr>
      <w:tblGrid>
        <w:gridCol w:w="1574"/>
        <w:gridCol w:w="1385"/>
        <w:gridCol w:w="1390"/>
        <w:gridCol w:w="212"/>
        <w:gridCol w:w="833"/>
        <w:gridCol w:w="109"/>
        <w:gridCol w:w="109"/>
        <w:gridCol w:w="109"/>
        <w:gridCol w:w="109"/>
        <w:gridCol w:w="281"/>
        <w:gridCol w:w="1103"/>
        <w:gridCol w:w="205"/>
      </w:tblGrid>
      <w:tr>
        <w:trPr/>
        <w:tc>
          <w:tcPr>
            <w:tcW w:w="1574"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including unbilled receivables</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437,643 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345,980 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expected credit losses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434,362 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343,105 </w:t>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movement in “Allowance for expected credit losses” was as follows:</w:t>
      </w:r>
    </w:p>
    <w:p>
      <w:pPr>
        <w:pStyle w:val="TextBody"/>
        <w:bidi w:val="0"/>
        <w:spacing w:before="0" w:after="0"/>
        <w:ind w:left="0" w:right="0" w:firstLine="450"/>
        <w:jc w:val="both"/>
        <w:rPr/>
      </w:pPr>
      <w:r>
        <w:rPr/>
      </w:r>
    </w:p>
    <w:tbl>
      <w:tblPr>
        <w:tblW w:w="9370" w:type="dxa"/>
        <w:jc w:val="left"/>
        <w:tblInd w:w="0" w:type="dxa"/>
        <w:tblLayout w:type="fixed"/>
        <w:tblCellMar>
          <w:top w:w="28" w:type="dxa"/>
          <w:left w:w="28" w:type="dxa"/>
          <w:bottom w:w="28" w:type="dxa"/>
          <w:right w:w="28" w:type="dxa"/>
        </w:tblCellMar>
      </w:tblPr>
      <w:tblGrid>
        <w:gridCol w:w="1521"/>
        <w:gridCol w:w="1336"/>
        <w:gridCol w:w="1342"/>
        <w:gridCol w:w="228"/>
        <w:gridCol w:w="668"/>
        <w:gridCol w:w="118"/>
        <w:gridCol w:w="118"/>
        <w:gridCol w:w="118"/>
        <w:gridCol w:w="118"/>
        <w:gridCol w:w="228"/>
        <w:gridCol w:w="668"/>
        <w:gridCol w:w="118"/>
        <w:gridCol w:w="109"/>
        <w:gridCol w:w="109"/>
        <w:gridCol w:w="109"/>
        <w:gridCol w:w="211"/>
        <w:gridCol w:w="616"/>
        <w:gridCol w:w="109"/>
        <w:gridCol w:w="109"/>
        <w:gridCol w:w="109"/>
        <w:gridCol w:w="109"/>
        <w:gridCol w:w="211"/>
        <w:gridCol w:w="616"/>
        <w:gridCol w:w="109"/>
        <w:gridCol w:w="109"/>
        <w:gridCol w:w="154"/>
      </w:tblGrid>
      <w:tr>
        <w:trPr/>
        <w:tc>
          <w:tcPr>
            <w:tcW w:w="152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Opening balance</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3,065 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Additions </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due to write-off of accounts receivable</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Closing balance</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Customer and credit risk concentration</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 single customer accounted for more than 10% of the Company's revenues, net during the three and six months ended June 30, 2026 and 2025. The Company’s management believes that the loss of any of its top ten clients could have a material adverse effect on its financial performance.</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 reduce credit risk, the Company conducts ongoing credit evaluations of its customers. No customer accounted for more than 10% of accounts receivable, net, as of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Earnings Per Share</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earnings per share:</w:t>
      </w:r>
    </w:p>
    <w:p>
      <w:pPr>
        <w:pStyle w:val="TextBody"/>
        <w:bidi w:val="0"/>
        <w:spacing w:before="0" w:after="0"/>
        <w:ind w:left="0" w:right="0" w:firstLine="450"/>
        <w:jc w:val="both"/>
        <w:rPr/>
      </w:pPr>
      <w:r>
        <w:rPr/>
      </w:r>
    </w:p>
    <w:tbl>
      <w:tblPr>
        <w:tblW w:w="10205" w:type="dxa"/>
        <w:jc w:val="left"/>
        <w:tblInd w:w="0" w:type="dxa"/>
        <w:tblLayout w:type="fixed"/>
        <w:tblCellMar>
          <w:top w:w="28" w:type="dxa"/>
          <w:left w:w="28" w:type="dxa"/>
          <w:bottom w:w="28" w:type="dxa"/>
          <w:right w:w="28" w:type="dxa"/>
        </w:tblCellMar>
      </w:tblPr>
      <w:tblGrid>
        <w:gridCol w:w="1446"/>
        <w:gridCol w:w="1271"/>
        <w:gridCol w:w="1280"/>
        <w:gridCol w:w="268"/>
        <w:gridCol w:w="918"/>
        <w:gridCol w:w="109"/>
        <w:gridCol w:w="109"/>
        <w:gridCol w:w="109"/>
        <w:gridCol w:w="109"/>
        <w:gridCol w:w="268"/>
        <w:gridCol w:w="918"/>
        <w:gridCol w:w="109"/>
        <w:gridCol w:w="109"/>
        <w:gridCol w:w="109"/>
        <w:gridCol w:w="109"/>
        <w:gridCol w:w="241"/>
        <w:gridCol w:w="945"/>
        <w:gridCol w:w="109"/>
        <w:gridCol w:w="109"/>
        <w:gridCol w:w="109"/>
        <w:gridCol w:w="109"/>
        <w:gridCol w:w="241"/>
        <w:gridCol w:w="945"/>
        <w:gridCol w:w="156"/>
      </w:tblGrid>
      <w:tr>
        <w:trPr/>
        <w:tc>
          <w:tcPr>
            <w:tcW w:w="144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9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common shares outstanding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152,554,401 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162,925,484 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154,292,120 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162,709,034 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stock-based awards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1,667,464 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common shares outstanding</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152,831,994 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164,193,258 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154,858,444 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164,376,498 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w:t>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potentially dilutive shares considered anti-dilutive and not included in computing diluted earnings per share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523,472 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March 16, 2026, the Company entered into a fixed dollar accelerated share repurchase transaction pursuant to a confirmation (“2026 ASR Agreement”) with Morgan Stanley &amp; Co. LLC (“Morgan Stanley”). During the six months ended June 30, 2026, the Company recorded the initial delivery and final settlement of shares in treasury stock, which resulted in an immediate reduction of its outstanding shares used to calculate the weighted average common shares outstanding for basic and diluted earnings per share.</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Refer to Note 19 - Capital Structure to the unaudited consolidated financial statements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6. Other Income, net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income, net consists of the following:</w:t>
      </w:r>
    </w:p>
    <w:p>
      <w:pPr>
        <w:pStyle w:val="TextBody"/>
        <w:bidi w:val="0"/>
        <w:spacing w:before="120" w:after="283"/>
        <w:ind w:left="0" w:right="0" w:firstLine="450"/>
        <w:jc w:val="both"/>
        <w:rPr/>
      </w:pPr>
      <w:r>
        <w:rPr/>
      </w:r>
    </w:p>
    <w:tbl>
      <w:tblPr>
        <w:tblW w:w="9903" w:type="dxa"/>
        <w:jc w:val="left"/>
        <w:tblInd w:w="0" w:type="dxa"/>
        <w:tblLayout w:type="fixed"/>
        <w:tblCellMar>
          <w:top w:w="28" w:type="dxa"/>
          <w:left w:w="28" w:type="dxa"/>
          <w:bottom w:w="28" w:type="dxa"/>
          <w:right w:w="28" w:type="dxa"/>
        </w:tblCellMar>
      </w:tblPr>
      <w:tblGrid>
        <w:gridCol w:w="1755"/>
        <w:gridCol w:w="1539"/>
        <w:gridCol w:w="1551"/>
        <w:gridCol w:w="228"/>
        <w:gridCol w:w="668"/>
        <w:gridCol w:w="118"/>
        <w:gridCol w:w="118"/>
        <w:gridCol w:w="118"/>
        <w:gridCol w:w="118"/>
        <w:gridCol w:w="228"/>
        <w:gridCol w:w="668"/>
        <w:gridCol w:w="118"/>
        <w:gridCol w:w="109"/>
        <w:gridCol w:w="109"/>
        <w:gridCol w:w="109"/>
        <w:gridCol w:w="211"/>
        <w:gridCol w:w="616"/>
        <w:gridCol w:w="109"/>
        <w:gridCol w:w="109"/>
        <w:gridCol w:w="109"/>
        <w:gridCol w:w="109"/>
        <w:gridCol w:w="211"/>
        <w:gridCol w:w="721"/>
        <w:gridCol w:w="154"/>
      </w:tblGrid>
      <w:tr>
        <w:trPr/>
        <w:tc>
          <w:tcPr>
            <w:tcW w:w="1755"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dividend income</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and fair value mark-to-market on investments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Fair value changes of contingent consideration </w:t>
            </w:r>
            <w:r>
              <w:rPr>
                <w:rFonts w:ascii="Times New Roman;serif" w:hAnsi="Times New Roman;serif"/>
                <w:b w:val="false"/>
                <w:color w:val="000000"/>
                <w:sz w:val="13"/>
              </w:rPr>
              <w:t>(1)</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Others, net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5,671 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50"/>
        <w:jc w:val="both"/>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(1) Refer to Note 16 - Fair Value Measurements to the unaudited consolidated financial statements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7. Cash, Cash Equivalents and Restricted Cash</w:t>
      </w:r>
    </w:p>
    <w:p>
      <w:pPr>
        <w:pStyle w:val="TextBody"/>
        <w:bidi w:val="0"/>
        <w:spacing w:before="0" w:after="0"/>
        <w:jc w:val="center"/>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purposes of unaudited consolidated statements of cash flows, cash, cash equivalents and restricted cash consist of the following:</w:t>
      </w:r>
    </w:p>
    <w:p>
      <w:pPr>
        <w:pStyle w:val="TextBody"/>
        <w:bidi w:val="0"/>
        <w:spacing w:before="0" w:after="0"/>
        <w:ind w:left="0" w:right="0" w:firstLine="450"/>
        <w:jc w:val="both"/>
        <w:rPr/>
      </w:pPr>
      <w:r>
        <w:rPr/>
      </w:r>
    </w:p>
    <w:tbl>
      <w:tblPr>
        <w:tblW w:w="7999" w:type="dxa"/>
        <w:jc w:val="left"/>
        <w:tblInd w:w="0" w:type="dxa"/>
        <w:tblLayout w:type="fixed"/>
        <w:tblCellMar>
          <w:top w:w="28" w:type="dxa"/>
          <w:left w:w="28" w:type="dxa"/>
          <w:bottom w:w="28" w:type="dxa"/>
          <w:right w:w="28" w:type="dxa"/>
        </w:tblCellMar>
      </w:tblPr>
      <w:tblGrid>
        <w:gridCol w:w="1271"/>
        <w:gridCol w:w="1116"/>
        <w:gridCol w:w="1122"/>
        <w:gridCol w:w="211"/>
        <w:gridCol w:w="826"/>
        <w:gridCol w:w="109"/>
        <w:gridCol w:w="109"/>
        <w:gridCol w:w="109"/>
        <w:gridCol w:w="109"/>
        <w:gridCol w:w="211"/>
        <w:gridCol w:w="826"/>
        <w:gridCol w:w="109"/>
        <w:gridCol w:w="109"/>
        <w:gridCol w:w="109"/>
        <w:gridCol w:w="109"/>
        <w:gridCol w:w="273"/>
        <w:gridCol w:w="1072"/>
        <w:gridCol w:w="199"/>
      </w:tblGrid>
      <w:tr>
        <w:trPr/>
        <w:tc>
          <w:tcPr>
            <w:tcW w:w="127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146,326 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Restricted cash (current)</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Restricted cash (non-current)</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165,969 </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(1) Restricted cash (current) primarily represents funds held on behalf of customers in dedicated bank accounts. The corresponding liability against the same is included under “Accrued expenses and other current liabilities.” Restricted cash also includes funds held as collateral in a dedicated bank account for irrevocable letters of credit issued in favor of third parties for facility leases.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(2) Restricted cash (non-current) represents deposits with banks against bank guarantees issued through banks in favor of relevant statutory authorities for equipment imports, deposits for obtaining indirect tax registrations and for demands against pending income tax and value added tax (“VAT”) assessments. Due to the associated restrictions, these deposits with banks are anticipated to mature one year after the balance sheet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8. Investments</w:t>
      </w:r>
    </w:p>
    <w:p>
      <w:pPr>
        <w:pStyle w:val="TextBody"/>
        <w:bidi w:val="0"/>
        <w:spacing w:before="0" w:after="0"/>
        <w:jc w:val="center"/>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Investments consist of the following:</w:t>
      </w:r>
    </w:p>
    <w:p>
      <w:pPr>
        <w:pStyle w:val="TextBody"/>
        <w:bidi w:val="0"/>
        <w:spacing w:before="0" w:after="0"/>
        <w:ind w:left="0" w:right="0" w:firstLine="450"/>
        <w:jc w:val="left"/>
        <w:rPr/>
      </w:pPr>
      <w:r>
        <w:rPr/>
      </w:r>
    </w:p>
    <w:tbl>
      <w:tblPr>
        <w:tblW w:w="5491" w:type="dxa"/>
        <w:jc w:val="left"/>
        <w:tblInd w:w="0" w:type="dxa"/>
        <w:tblLayout w:type="fixed"/>
        <w:tblCellMar>
          <w:top w:w="28" w:type="dxa"/>
          <w:left w:w="28" w:type="dxa"/>
          <w:bottom w:w="28" w:type="dxa"/>
          <w:right w:w="28" w:type="dxa"/>
        </w:tblCellMar>
      </w:tblPr>
      <w:tblGrid>
        <w:gridCol w:w="895"/>
        <w:gridCol w:w="788"/>
        <w:gridCol w:w="791"/>
        <w:gridCol w:w="211"/>
        <w:gridCol w:w="826"/>
        <w:gridCol w:w="109"/>
        <w:gridCol w:w="109"/>
        <w:gridCol w:w="109"/>
        <w:gridCol w:w="109"/>
        <w:gridCol w:w="273"/>
        <w:gridCol w:w="1072"/>
        <w:gridCol w:w="199"/>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Short-term investments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Mutual funds</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129,549 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deposits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52,492 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182,041 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investments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deposits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equity affiliate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6,396 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8,198 </w:t>
            </w:r>
          </w:p>
        </w:tc>
        <w:tc>
          <w:tcPr>
            <w:tcW w:w="19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(1) Refer to Note 16 - Fair Value Measurements to the unaudited consolidated financial statements for further details.</w:t>
      </w:r>
    </w:p>
    <w:p>
      <w:pPr>
        <w:pStyle w:val="TextBody"/>
        <w:bidi w:val="0"/>
        <w:spacing w:before="10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Property and Equipment,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consist of the following:</w:t>
      </w:r>
    </w:p>
    <w:tbl>
      <w:tblPr>
        <w:tblW w:w="7543" w:type="dxa"/>
        <w:jc w:val="left"/>
        <w:tblInd w:w="0" w:type="dxa"/>
        <w:tblLayout w:type="fixed"/>
        <w:tblCellMar>
          <w:top w:w="28" w:type="dxa"/>
          <w:left w:w="28" w:type="dxa"/>
          <w:bottom w:w="28" w:type="dxa"/>
          <w:right w:w="28" w:type="dxa"/>
        </w:tblCellMar>
      </w:tblPr>
      <w:tblGrid>
        <w:gridCol w:w="1520"/>
        <w:gridCol w:w="1337"/>
        <w:gridCol w:w="1342"/>
        <w:gridCol w:w="109"/>
        <w:gridCol w:w="109"/>
        <w:gridCol w:w="109"/>
        <w:gridCol w:w="211"/>
        <w:gridCol w:w="826"/>
        <w:gridCol w:w="109"/>
        <w:gridCol w:w="109"/>
        <w:gridCol w:w="109"/>
        <w:gridCol w:w="109"/>
        <w:gridCol w:w="273"/>
        <w:gridCol w:w="1072"/>
        <w:gridCol w:w="199"/>
      </w:tblGrid>
      <w:tr>
        <w:trPr/>
        <w:tc>
          <w:tcPr>
            <w:tcW w:w="1520"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Property and equipment, gross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367,558 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Accumulated depreciation and amortization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(255,737)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Property and equipment,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111,821 </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there were no material changes in estimated useful lives of property and equipment during the ordinary course of operations.</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depreciation and amortization expense, excluding amortization of acquisition-related intangibles, recognized in the unaudited consolidated statements of income was as follows:</w:t>
      </w:r>
    </w:p>
    <w:p>
      <w:pPr>
        <w:pStyle w:val="TextBody"/>
        <w:bidi w:val="0"/>
        <w:spacing w:before="0" w:after="0"/>
        <w:ind w:left="0" w:right="0" w:firstLine="450"/>
        <w:jc w:val="both"/>
        <w:rPr/>
      </w:pPr>
      <w:r>
        <w:rPr/>
      </w:r>
    </w:p>
    <w:tbl>
      <w:tblPr>
        <w:tblW w:w="8490" w:type="dxa"/>
        <w:jc w:val="left"/>
        <w:tblInd w:w="0" w:type="dxa"/>
        <w:tblLayout w:type="fixed"/>
        <w:tblCellMar>
          <w:top w:w="28" w:type="dxa"/>
          <w:left w:w="28" w:type="dxa"/>
          <w:bottom w:w="28" w:type="dxa"/>
          <w:right w:w="28" w:type="dxa"/>
        </w:tblCellMar>
      </w:tblPr>
      <w:tblGrid>
        <w:gridCol w:w="1195"/>
        <w:gridCol w:w="1051"/>
        <w:gridCol w:w="105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19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Internally developed software costs included in property and equipment were as follows:</w:t>
      </w:r>
    </w:p>
    <w:p>
      <w:pPr>
        <w:pStyle w:val="TextBody"/>
        <w:bidi w:val="0"/>
        <w:spacing w:before="0" w:after="0"/>
        <w:jc w:val="left"/>
        <w:rPr/>
      </w:pPr>
      <w:r>
        <w:rPr/>
      </w:r>
    </w:p>
    <w:tbl>
      <w:tblPr>
        <w:tblW w:w="5876" w:type="dxa"/>
        <w:jc w:val="left"/>
        <w:tblInd w:w="0" w:type="dxa"/>
        <w:tblLayout w:type="fixed"/>
        <w:tblCellMar>
          <w:top w:w="28" w:type="dxa"/>
          <w:left w:w="28" w:type="dxa"/>
          <w:bottom w:w="28" w:type="dxa"/>
          <w:right w:w="28" w:type="dxa"/>
        </w:tblCellMar>
      </w:tblPr>
      <w:tblGrid>
        <w:gridCol w:w="1039"/>
        <w:gridCol w:w="917"/>
        <w:gridCol w:w="924"/>
        <w:gridCol w:w="228"/>
        <w:gridCol w:w="779"/>
        <w:gridCol w:w="117"/>
        <w:gridCol w:w="109"/>
        <w:gridCol w:w="109"/>
        <w:gridCol w:w="109"/>
        <w:gridCol w:w="300"/>
        <w:gridCol w:w="1026"/>
        <w:gridCol w:w="219"/>
      </w:tblGrid>
      <w:tr>
        <w:trPr/>
        <w:tc>
          <w:tcPr>
            <w:tcW w:w="103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66,051 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59,391 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(44,383)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Internally developed software, net</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21,668 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20,059 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amortization expense on internally developed software recognized in the unaudited consolidated statements of income was as follows:</w:t>
      </w:r>
    </w:p>
    <w:p>
      <w:pPr>
        <w:pStyle w:val="TextBody"/>
        <w:bidi w:val="0"/>
        <w:spacing w:before="0" w:after="0"/>
        <w:ind w:left="0" w:right="0" w:firstLine="450"/>
        <w:jc w:val="both"/>
        <w:rPr/>
      </w:pPr>
      <w:r>
        <w:rPr/>
      </w:r>
    </w:p>
    <w:tbl>
      <w:tblPr>
        <w:tblW w:w="6696" w:type="dxa"/>
        <w:jc w:val="left"/>
        <w:tblInd w:w="0" w:type="dxa"/>
        <w:tblLayout w:type="fixed"/>
        <w:tblCellMar>
          <w:top w:w="28" w:type="dxa"/>
          <w:left w:w="28" w:type="dxa"/>
          <w:bottom w:w="28" w:type="dxa"/>
          <w:right w:w="28" w:type="dxa"/>
        </w:tblCellMar>
      </w:tblPr>
      <w:tblGrid>
        <w:gridCol w:w="690"/>
        <w:gridCol w:w="606"/>
        <w:gridCol w:w="609"/>
        <w:gridCol w:w="213"/>
        <w:gridCol w:w="622"/>
        <w:gridCol w:w="110"/>
        <w:gridCol w:w="110"/>
        <w:gridCol w:w="110"/>
        <w:gridCol w:w="110"/>
        <w:gridCol w:w="213"/>
        <w:gridCol w:w="622"/>
        <w:gridCol w:w="110"/>
        <w:gridCol w:w="109"/>
        <w:gridCol w:w="109"/>
        <w:gridCol w:w="109"/>
        <w:gridCol w:w="211"/>
        <w:gridCol w:w="616"/>
        <w:gridCol w:w="109"/>
        <w:gridCol w:w="109"/>
        <w:gridCol w:w="109"/>
        <w:gridCol w:w="109"/>
        <w:gridCol w:w="211"/>
        <w:gridCol w:w="616"/>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and 2025, there were no indicators of impairment related to capitalized software.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10. Business Combinations, Goodwill and Other Intangible Assets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I Merit Inc.</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June 22, 2026, the Company, through its wholly owned subsidiary Clairvoyant AI, Inc. entered into a securities purchase agreement (the “Purchase Agreement”), which is expected to close on July 31, 2026, to acquire 100% of the equity securities of I Merit Inc., a Delaware Corporation (“iMerit”), in exchange for upfront cash consideration of $170,000, subject to certain post-closing adjustments, and up to an additional $140,000 in cash incentives and earnouts over two years contingent on meeting specified milestones, as set forth in the Purchase Agreement.</w:t>
      </w:r>
    </w:p>
    <w:p>
      <w:pPr>
        <w:pStyle w:val="TextBody"/>
        <w:bidi w:val="0"/>
        <w:spacing w:before="0" w:after="0"/>
        <w:ind w:left="0" w:right="0" w:firstLine="72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iMerit is a recognized leader in AI model training, evaluation and reinforcement learning. It is focused on helping its clients train large language and multimodal models to improve accuracy, precision, and effectiveness. The acquisition strengthens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Company's ability to help enterprises achieve measurable outcomes from AI, builds partnerships with leading foundation model builders and expands its reach into high-growth AI tech sectors.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details of changes in goodwill by reportable segment of the Company:</w:t>
      </w:r>
    </w:p>
    <w:tbl>
      <w:tblPr>
        <w:tblW w:w="10205" w:type="dxa"/>
        <w:jc w:val="left"/>
        <w:tblInd w:w="0" w:type="dxa"/>
        <w:tblLayout w:type="fixed"/>
        <w:tblCellMar>
          <w:top w:w="28" w:type="dxa"/>
          <w:left w:w="28" w:type="dxa"/>
          <w:bottom w:w="28" w:type="dxa"/>
          <w:right w:w="28" w:type="dxa"/>
        </w:tblCellMar>
      </w:tblPr>
      <w:tblGrid>
        <w:gridCol w:w="670"/>
        <w:gridCol w:w="491"/>
        <w:gridCol w:w="494"/>
        <w:gridCol w:w="211"/>
        <w:gridCol w:w="721"/>
        <w:gridCol w:w="109"/>
        <w:gridCol w:w="109"/>
        <w:gridCol w:w="109"/>
        <w:gridCol w:w="109"/>
        <w:gridCol w:w="273"/>
        <w:gridCol w:w="1071"/>
        <w:gridCol w:w="141"/>
        <w:gridCol w:w="109"/>
        <w:gridCol w:w="109"/>
        <w:gridCol w:w="109"/>
        <w:gridCol w:w="376"/>
        <w:gridCol w:w="1475"/>
        <w:gridCol w:w="194"/>
        <w:gridCol w:w="109"/>
        <w:gridCol w:w="109"/>
        <w:gridCol w:w="109"/>
        <w:gridCol w:w="298"/>
        <w:gridCol w:w="1021"/>
        <w:gridCol w:w="154"/>
        <w:gridCol w:w="109"/>
        <w:gridCol w:w="109"/>
        <w:gridCol w:w="109"/>
        <w:gridCol w:w="211"/>
        <w:gridCol w:w="826"/>
        <w:gridCol w:w="161"/>
      </w:tblGrid>
      <w:tr>
        <w:trPr/>
        <w:tc>
          <w:tcPr>
            <w:tcW w:w="67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Healthcare and Life Sciences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Banking, Capital Markets and Diversified Industries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International Growth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189,594 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100,153 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52,638 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419,654 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189,566 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99,659 </w:t>
            </w:r>
          </w:p>
        </w:tc>
        <w:tc>
          <w:tcPr>
            <w:tcW w:w="1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52,241 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418,693 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and 2025, the Company performed an assessment to determine whether events or circumstances exist that may lead to a determination that it is more likely than not that the fair value of a reporting unit is less than its carrying amount. Based on such assessment, the Company concluded that there was no impairment on goodwill as of the three and six months ended June 30, 2026 and 2025.</w:t>
      </w:r>
    </w:p>
    <w:p>
      <w:pPr>
        <w:pStyle w:val="TextBody"/>
        <w:bidi w:val="0"/>
        <w:spacing w:before="0" w:after="0"/>
        <w:ind w:left="0" w:right="0" w:firstLine="45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Other Intangible Assets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Information regarding the Company’s intangible assets is set forth below:</w:t>
      </w:r>
    </w:p>
    <w:p>
      <w:pPr>
        <w:pStyle w:val="TextBody"/>
        <w:bidi w:val="0"/>
        <w:spacing w:before="120" w:after="283"/>
        <w:ind w:left="0" w:right="0" w:firstLine="450"/>
        <w:jc w:val="left"/>
        <w:rPr/>
      </w:pPr>
      <w:r>
        <w:rPr/>
      </w:r>
    </w:p>
    <w:tbl>
      <w:tblPr>
        <w:tblW w:w="10205" w:type="dxa"/>
        <w:jc w:val="left"/>
        <w:tblInd w:w="0" w:type="dxa"/>
        <w:tblLayout w:type="fixed"/>
        <w:tblCellMar>
          <w:top w:w="28" w:type="dxa"/>
          <w:left w:w="28" w:type="dxa"/>
          <w:bottom w:w="28" w:type="dxa"/>
          <w:right w:w="28" w:type="dxa"/>
        </w:tblCellMar>
      </w:tblPr>
      <w:tblGrid>
        <w:gridCol w:w="740"/>
        <w:gridCol w:w="396"/>
        <w:gridCol w:w="397"/>
        <w:gridCol w:w="211"/>
        <w:gridCol w:w="826"/>
        <w:gridCol w:w="109"/>
        <w:gridCol w:w="109"/>
        <w:gridCol w:w="109"/>
        <w:gridCol w:w="109"/>
        <w:gridCol w:w="248"/>
        <w:gridCol w:w="868"/>
        <w:gridCol w:w="130"/>
        <w:gridCol w:w="109"/>
        <w:gridCol w:w="109"/>
        <w:gridCol w:w="109"/>
        <w:gridCol w:w="211"/>
        <w:gridCol w:w="721"/>
        <w:gridCol w:w="109"/>
        <w:gridCol w:w="109"/>
        <w:gridCol w:w="109"/>
        <w:gridCol w:w="109"/>
        <w:gridCol w:w="216"/>
        <w:gridCol w:w="846"/>
        <w:gridCol w:w="111"/>
        <w:gridCol w:w="109"/>
        <w:gridCol w:w="109"/>
        <w:gridCol w:w="109"/>
        <w:gridCol w:w="267"/>
        <w:gridCol w:w="935"/>
        <w:gridCol w:w="140"/>
        <w:gridCol w:w="109"/>
        <w:gridCol w:w="109"/>
        <w:gridCol w:w="109"/>
        <w:gridCol w:w="211"/>
        <w:gridCol w:w="721"/>
        <w:gridCol w:w="157"/>
      </w:tblGrid>
      <w:tr>
        <w:trPr/>
        <w:tc>
          <w:tcPr>
            <w:tcW w:w="74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Carrying </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 </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w:t>
              <w:br/>
              <w:t>Carrying</w:t>
              <w:br/>
              <w:t>Amount</w:t>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Finite-lived intangible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(79,839)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(73,482)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and trademarks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(85,339)</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114,186 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(78,882)</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35,304 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Indefinite-lived intangible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and trademarks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(85,339)</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115,086 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(78,882)</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36,204 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amortization expense recognized in the unaudited consolidated statements of income was as follows:</w:t>
      </w:r>
    </w:p>
    <w:p>
      <w:pPr>
        <w:pStyle w:val="TextBody"/>
        <w:bidi w:val="0"/>
        <w:spacing w:before="0" w:after="0"/>
        <w:ind w:left="0" w:right="0" w:firstLine="450"/>
        <w:jc w:val="both"/>
        <w:rPr/>
      </w:pPr>
      <w:r>
        <w:rPr/>
      </w:r>
    </w:p>
    <w:tbl>
      <w:tblPr>
        <w:tblW w:w="6696" w:type="dxa"/>
        <w:jc w:val="left"/>
        <w:tblInd w:w="0" w:type="dxa"/>
        <w:tblLayout w:type="fixed"/>
        <w:tblCellMar>
          <w:top w:w="28" w:type="dxa"/>
          <w:left w:w="28" w:type="dxa"/>
          <w:bottom w:w="28" w:type="dxa"/>
          <w:right w:w="28" w:type="dxa"/>
        </w:tblCellMar>
      </w:tblPr>
      <w:tblGrid>
        <w:gridCol w:w="690"/>
        <w:gridCol w:w="606"/>
        <w:gridCol w:w="609"/>
        <w:gridCol w:w="213"/>
        <w:gridCol w:w="622"/>
        <w:gridCol w:w="110"/>
        <w:gridCol w:w="110"/>
        <w:gridCol w:w="110"/>
        <w:gridCol w:w="110"/>
        <w:gridCol w:w="213"/>
        <w:gridCol w:w="622"/>
        <w:gridCol w:w="110"/>
        <w:gridCol w:w="109"/>
        <w:gridCol w:w="109"/>
        <w:gridCol w:w="109"/>
        <w:gridCol w:w="211"/>
        <w:gridCol w:w="616"/>
        <w:gridCol w:w="109"/>
        <w:gridCol w:w="109"/>
        <w:gridCol w:w="109"/>
        <w:gridCol w:w="109"/>
        <w:gridCol w:w="211"/>
        <w:gridCol w:w="616"/>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and 2025, there were no indicators of impairment related to intangible assets.</w:t>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Estimated future amortization expense related to finite-lived intangible assets as of June 30, 2026 was as follows:</w:t>
      </w:r>
    </w:p>
    <w:p>
      <w:pPr>
        <w:pStyle w:val="TextBody"/>
        <w:bidi w:val="0"/>
        <w:spacing w:before="0" w:after="0"/>
        <w:ind w:left="0" w:right="0" w:firstLine="450"/>
        <w:jc w:val="left"/>
        <w:rPr/>
      </w:pPr>
      <w:r>
        <w:rPr/>
      </w:r>
    </w:p>
    <w:tbl>
      <w:tblPr>
        <w:tblW w:w="3500" w:type="dxa"/>
        <w:jc w:val="left"/>
        <w:tblInd w:w="0" w:type="dxa"/>
        <w:tblLayout w:type="fixed"/>
        <w:tblCellMar>
          <w:top w:w="28" w:type="dxa"/>
          <w:left w:w="28" w:type="dxa"/>
          <w:bottom w:w="28" w:type="dxa"/>
          <w:right w:w="28" w:type="dxa"/>
        </w:tblCellMar>
      </w:tblPr>
      <w:tblGrid>
        <w:gridCol w:w="874"/>
        <w:gridCol w:w="769"/>
        <w:gridCol w:w="771"/>
        <w:gridCol w:w="211"/>
        <w:gridCol w:w="721"/>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(July 1 - December 31)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11. Other Current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 consist of the following:</w:t>
      </w:r>
    </w:p>
    <w:tbl>
      <w:tblPr>
        <w:tblW w:w="6227" w:type="dxa"/>
        <w:jc w:val="left"/>
        <w:tblInd w:w="0" w:type="dxa"/>
        <w:tblLayout w:type="fixed"/>
        <w:tblCellMar>
          <w:top w:w="28" w:type="dxa"/>
          <w:left w:w="28" w:type="dxa"/>
          <w:bottom w:w="28" w:type="dxa"/>
          <w:right w:w="28" w:type="dxa"/>
        </w:tblCellMar>
      </w:tblPr>
      <w:tblGrid>
        <w:gridCol w:w="1162"/>
        <w:gridCol w:w="1022"/>
        <w:gridCol w:w="1026"/>
        <w:gridCol w:w="211"/>
        <w:gridCol w:w="826"/>
        <w:gridCol w:w="109"/>
        <w:gridCol w:w="109"/>
        <w:gridCol w:w="109"/>
        <w:gridCol w:w="109"/>
        <w:gridCol w:w="273"/>
        <w:gridCol w:w="1072"/>
        <w:gridCol w:w="199"/>
      </w:tblGrid>
      <w:tr>
        <w:trPr/>
        <w:tc>
          <w:tcPr>
            <w:tcW w:w="116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27,083 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income tax,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51,984 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from statutory authorities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fulfillment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144,132 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146,093 </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12. Other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Other assets consist of the following:</w:t>
      </w:r>
    </w:p>
    <w:tbl>
      <w:tblPr>
        <w:tblW w:w="5906" w:type="dxa"/>
        <w:jc w:val="left"/>
        <w:tblInd w:w="0" w:type="dxa"/>
        <w:tblLayout w:type="fixed"/>
        <w:tblCellMar>
          <w:top w:w="28" w:type="dxa"/>
          <w:left w:w="28" w:type="dxa"/>
          <w:bottom w:w="28" w:type="dxa"/>
          <w:right w:w="28" w:type="dxa"/>
        </w:tblCellMar>
      </w:tblPr>
      <w:tblGrid>
        <w:gridCol w:w="1054"/>
        <w:gridCol w:w="925"/>
        <w:gridCol w:w="931"/>
        <w:gridCol w:w="228"/>
        <w:gridCol w:w="779"/>
        <w:gridCol w:w="117"/>
        <w:gridCol w:w="109"/>
        <w:gridCol w:w="109"/>
        <w:gridCol w:w="109"/>
        <w:gridCol w:w="300"/>
        <w:gridCol w:w="1026"/>
        <w:gridCol w:w="219"/>
      </w:tblGrid>
      <w:tr>
        <w:trPr/>
        <w:tc>
          <w:tcPr>
            <w:tcW w:w="105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fulfillment costs</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30,496 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32,146 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with statutory authorities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deposits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59,340 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61,771 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50"/>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13. Accrued Expenses and Other Current Liabilities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 of the following:</w:t>
      </w:r>
    </w:p>
    <w:p>
      <w:pPr>
        <w:pStyle w:val="TextBody"/>
        <w:bidi w:val="0"/>
        <w:spacing w:lineRule="auto" w:line="288" w:before="120" w:after="283"/>
        <w:ind w:left="0" w:right="0" w:firstLine="450"/>
        <w:jc w:val="left"/>
        <w:rPr>
          <w:color w:val="000000"/>
        </w:rPr>
      </w:pPr>
      <w:r>
        <w:rPr>
          <w:color w:val="000000"/>
        </w:rPr>
        <w:t>    </w:t>
      </w:r>
    </w:p>
    <w:tbl>
      <w:tblPr>
        <w:tblW w:w="6842" w:type="dxa"/>
        <w:jc w:val="left"/>
        <w:tblInd w:w="0" w:type="dxa"/>
        <w:tblLayout w:type="fixed"/>
        <w:tblCellMar>
          <w:top w:w="28" w:type="dxa"/>
          <w:left w:w="28" w:type="dxa"/>
          <w:bottom w:w="28" w:type="dxa"/>
          <w:right w:w="28" w:type="dxa"/>
        </w:tblCellMar>
      </w:tblPr>
      <w:tblGrid>
        <w:gridCol w:w="1385"/>
        <w:gridCol w:w="1215"/>
        <w:gridCol w:w="1225"/>
        <w:gridCol w:w="211"/>
        <w:gridCol w:w="826"/>
        <w:gridCol w:w="109"/>
        <w:gridCol w:w="109"/>
        <w:gridCol w:w="109"/>
        <w:gridCol w:w="109"/>
        <w:gridCol w:w="273"/>
        <w:gridCol w:w="1072"/>
        <w:gridCol w:w="199"/>
      </w:tblGrid>
      <w:tr>
        <w:trPr/>
        <w:tc>
          <w:tcPr>
            <w:tcW w:w="138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64,220 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 to statutory authorities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135,498 </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14. Other Non-Current Liabilities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 consist of the following:</w:t>
      </w:r>
    </w:p>
    <w:tbl>
      <w:tblPr>
        <w:tblW w:w="5380" w:type="dxa"/>
        <w:jc w:val="left"/>
        <w:tblInd w:w="0" w:type="dxa"/>
        <w:tblLayout w:type="fixed"/>
        <w:tblCellMar>
          <w:top w:w="28" w:type="dxa"/>
          <w:left w:w="28" w:type="dxa"/>
          <w:bottom w:w="28" w:type="dxa"/>
          <w:right w:w="28" w:type="dxa"/>
        </w:tblCellMar>
      </w:tblPr>
      <w:tblGrid>
        <w:gridCol w:w="865"/>
        <w:gridCol w:w="758"/>
        <w:gridCol w:w="761"/>
        <w:gridCol w:w="228"/>
        <w:gridCol w:w="779"/>
        <w:gridCol w:w="117"/>
        <w:gridCol w:w="109"/>
        <w:gridCol w:w="109"/>
        <w:gridCol w:w="109"/>
        <w:gridCol w:w="300"/>
        <w:gridCol w:w="1026"/>
        <w:gridCol w:w="219"/>
      </w:tblGrid>
      <w:tr>
        <w:trPr/>
        <w:tc>
          <w:tcPr>
            <w:tcW w:w="86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benefits</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41,507 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41,632 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transition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87,613 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81,401 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50"/>
        <w:jc w:val="left"/>
        <w:rPr/>
      </w:pPr>
      <w:r>
        <w:rPr/>
      </w:r>
    </w:p>
    <w:p>
      <w:pPr>
        <w:pStyle w:val="TextBody"/>
        <w:bidi w:val="0"/>
        <w:spacing w:before="120" w:after="283"/>
        <w:ind w:left="0" w:right="0" w:firstLine="450"/>
        <w:jc w:val="left"/>
        <w:rPr/>
      </w:pPr>
      <w:r>
        <w:rPr/>
      </w:r>
    </w:p>
    <w:p>
      <w:pPr>
        <w:pStyle w:val="TextBody"/>
        <w:bidi w:val="0"/>
        <w:spacing w:before="120" w:after="283"/>
        <w:ind w:left="0" w:right="0" w:firstLine="450"/>
        <w:jc w:val="left"/>
        <w:rPr/>
      </w:pPr>
      <w:r>
        <w:rPr/>
      </w:r>
    </w:p>
    <w:p>
      <w:pPr>
        <w:pStyle w:val="TextBody"/>
        <w:bidi w:val="0"/>
        <w:spacing w:before="120" w:after="283"/>
        <w:ind w:left="0" w:right="0" w:firstLine="450"/>
        <w:jc w:val="left"/>
        <w:rPr/>
      </w:pPr>
      <w:r>
        <w:rPr/>
      </w:r>
    </w:p>
    <w:p>
      <w:pPr>
        <w:pStyle w:val="TextBody"/>
        <w:bidi w:val="0"/>
        <w:spacing w:before="120" w:after="283"/>
        <w:ind w:left="0" w:right="0" w:firstLine="450"/>
        <w:jc w:val="left"/>
        <w:rPr/>
      </w:pPr>
      <w:r>
        <w:rPr/>
      </w:r>
    </w:p>
    <w:p>
      <w:pPr>
        <w:pStyle w:val="TextBody"/>
        <w:bidi w:val="0"/>
        <w:spacing w:before="120" w:after="283"/>
        <w:ind w:left="0" w:right="0" w:firstLine="450"/>
        <w:jc w:val="left"/>
        <w:rPr/>
      </w:pPr>
      <w:r>
        <w:rPr/>
      </w:r>
    </w:p>
    <w:p>
      <w:pPr>
        <w:pStyle w:val="TextBody"/>
        <w:bidi w:val="0"/>
        <w:spacing w:before="120" w:after="283"/>
        <w:ind w:left="0" w:right="0" w:firstLine="450"/>
        <w:jc w:val="left"/>
        <w:rPr/>
      </w:pPr>
      <w:r>
        <w:rPr/>
      </w:r>
    </w:p>
    <w:p>
      <w:pPr>
        <w:pStyle w:val="TextBody"/>
        <w:bidi w:val="0"/>
        <w:spacing w:before="120" w:after="283"/>
        <w:ind w:left="0" w:right="0" w:firstLine="450"/>
        <w:jc w:val="left"/>
        <w:rPr/>
      </w:pPr>
      <w:r>
        <w:rPr/>
      </w:r>
    </w:p>
    <w:p>
      <w:pPr>
        <w:pStyle w:val="TextBody"/>
        <w:bidi w:val="0"/>
        <w:spacing w:before="120" w:after="283"/>
        <w:ind w:left="0" w:right="0" w:firstLine="450"/>
        <w:jc w:val="left"/>
        <w:rPr/>
      </w:pPr>
      <w:r>
        <w:rPr/>
      </w:r>
    </w:p>
    <w:p>
      <w:pPr>
        <w:pStyle w:val="TextBody"/>
        <w:bidi w:val="0"/>
        <w:spacing w:before="120" w:after="283"/>
        <w:ind w:left="0" w:right="0" w:firstLine="450"/>
        <w:jc w:val="left"/>
        <w:rPr/>
      </w:pPr>
      <w:r>
        <w:rPr/>
      </w:r>
    </w:p>
    <w:p>
      <w:pPr>
        <w:pStyle w:val="TextBody"/>
        <w:bidi w:val="0"/>
        <w:spacing w:before="120" w:after="283"/>
        <w:ind w:left="0" w:right="0" w:firstLine="450"/>
        <w:jc w:val="left"/>
        <w:rPr/>
      </w:pPr>
      <w:r>
        <w:rPr/>
      </w:r>
    </w:p>
    <w:p>
      <w:pPr>
        <w:pStyle w:val="TextBody"/>
        <w:bidi w:val="0"/>
        <w:spacing w:before="120" w:after="283"/>
        <w:ind w:left="0" w:right="0" w:firstLine="450"/>
        <w:jc w:val="left"/>
        <w:rPr/>
      </w:pPr>
      <w:r>
        <w:rPr/>
      </w:r>
    </w:p>
    <w:p>
      <w:pPr>
        <w:pStyle w:val="TextBody"/>
        <w:bidi w:val="0"/>
        <w:spacing w:before="120" w:after="283"/>
        <w:ind w:left="0" w:right="0" w:firstLine="450"/>
        <w:jc w:val="left"/>
        <w:rPr/>
      </w:pPr>
      <w:r>
        <w:rPr/>
      </w:r>
    </w:p>
    <w:p>
      <w:pPr>
        <w:pStyle w:val="TextBody"/>
        <w:bidi w:val="0"/>
        <w:spacing w:before="120" w:after="283"/>
        <w:ind w:left="0" w:right="0" w:firstLine="450"/>
        <w:jc w:val="left"/>
        <w:rPr/>
      </w:pPr>
      <w:r>
        <w:rPr/>
      </w:r>
    </w:p>
    <w:p>
      <w:pPr>
        <w:pStyle w:val="TextBody"/>
        <w:bidi w:val="0"/>
        <w:spacing w:before="120" w:after="283"/>
        <w:ind w:left="0" w:right="0" w:firstLine="450"/>
        <w:jc w:val="left"/>
        <w:rPr/>
      </w:pPr>
      <w:r>
        <w:rPr/>
      </w:r>
    </w:p>
    <w:p>
      <w:pPr>
        <w:pStyle w:val="TextBody"/>
        <w:bidi w:val="0"/>
        <w:spacing w:before="12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15. Accumulated Other Comprehensive Income/(Loss)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changes in Accumulated other comprehensive income/(loss) (“AOCI”) during the six months ended June 30, 2026 and 2025:</w:t>
      </w:r>
    </w:p>
    <w:p>
      <w:pPr>
        <w:pStyle w:val="TextBody"/>
        <w:bidi w:val="0"/>
        <w:spacing w:lineRule="auto" w:line="268" w:before="0" w:after="0"/>
        <w:ind w:left="0" w:right="0" w:firstLine="27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968"/>
        <w:gridCol w:w="682"/>
        <w:gridCol w:w="686"/>
        <w:gridCol w:w="351"/>
        <w:gridCol w:w="1480"/>
        <w:gridCol w:w="181"/>
        <w:gridCol w:w="109"/>
        <w:gridCol w:w="109"/>
        <w:gridCol w:w="109"/>
        <w:gridCol w:w="445"/>
        <w:gridCol w:w="1657"/>
        <w:gridCol w:w="230"/>
        <w:gridCol w:w="109"/>
        <w:gridCol w:w="109"/>
        <w:gridCol w:w="109"/>
        <w:gridCol w:w="275"/>
        <w:gridCol w:w="879"/>
        <w:gridCol w:w="142"/>
        <w:gridCol w:w="109"/>
        <w:gridCol w:w="109"/>
        <w:gridCol w:w="109"/>
        <w:gridCol w:w="211"/>
        <w:gridCol w:w="877"/>
        <w:gridCol w:w="160"/>
      </w:tblGrid>
      <w:tr>
        <w:trPr/>
        <w:tc>
          <w:tcPr>
            <w:tcW w:w="96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Income/(Loss)</w:t>
            </w:r>
          </w:p>
        </w:tc>
      </w:tr>
      <w:tr>
        <w:trPr/>
        <w:tc>
          <w:tcPr>
            <w:tcW w:w="2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Currency translation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gain/(loss) on cash flow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Retirement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(156,548)</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(15,490)</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(8,689)</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(180,727)</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recognized during the period</w:t>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(37,047)</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(61,315)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6"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Reclassification to net income</w:t>
            </w:r>
            <w:r>
              <w:rPr>
                <w:rFonts w:ascii="Times New Roman;serif" w:hAnsi="Times New Roman;serif"/>
                <w:b w:val="false"/>
                <w:color w:val="000000"/>
                <w:sz w:val="13"/>
              </w:rPr>
              <w:t>(1)</w:t>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 effects</w:t>
            </w:r>
            <w:r>
              <w:rPr>
                <w:rFonts w:ascii="Times New Roman;serif" w:hAnsi="Times New Roman;serif"/>
                <w:b w:val="false"/>
                <w:color w:val="000000"/>
                <w:sz w:val="13"/>
              </w:rPr>
              <w:t>(2)</w:t>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(179,639)</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(34,935)</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(9,108)</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(223,682)</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(146,998)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(7,548)</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(154,722)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recognized during the period</w:t>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15,424 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6"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Reclassification to net income</w:t>
            </w:r>
            <w:r>
              <w:rPr>
                <w:rFonts w:ascii="Times New Roman;serif" w:hAnsi="Times New Roman;serif"/>
                <w:b w:val="false"/>
                <w:color w:val="000000"/>
                <w:sz w:val="13"/>
              </w:rPr>
              <w:t>(1)</w:t>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 effects</w:t>
            </w:r>
            <w:r>
              <w:rPr>
                <w:rFonts w:ascii="Times New Roman;serif" w:hAnsi="Times New Roman;serif"/>
                <w:b w:val="false"/>
                <w:color w:val="000000"/>
                <w:sz w:val="13"/>
              </w:rPr>
              <w:t>(2)</w:t>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3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(140,077)</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6,073 </w:t>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w:t>
            </w:r>
          </w:p>
        </w:tc>
        <w:tc>
          <w:tcPr>
            <w:tcW w:w="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(134,434)</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center"/>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(1) Refer to Note 17 - Derivatives and Hedge Accounting and Note 20 - Employee Benefit Plans to the unaudited consolidated financial statements for reclassification to net income.</w:t>
      </w:r>
    </w:p>
    <w:p>
      <w:pPr>
        <w:pStyle w:val="TextBody"/>
        <w:bidi w:val="0"/>
        <w:spacing w:before="0" w:after="0"/>
        <w:ind w:left="0" w:right="0" w:hanging="18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(2) These are income tax effects recognized on currency translation adjustments, cash flow hedges and retirement benefits. Refer to Note 22 - Income Taxes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16. Fair Value Measurements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Assets and Liabilities Measured at Fair Value</w:t>
      </w:r>
    </w:p>
    <w:p>
      <w:pPr>
        <w:pStyle w:val="TextBody"/>
        <w:bidi w:val="0"/>
        <w:spacing w:before="0" w:after="0"/>
        <w:ind w:left="0" w:right="0" w:firstLine="45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assets and liabilities that were recognized at fair value:</w:t>
      </w:r>
    </w:p>
    <w:tbl>
      <w:tblPr>
        <w:tblW w:w="9896" w:type="dxa"/>
        <w:jc w:val="left"/>
        <w:tblInd w:w="0" w:type="dxa"/>
        <w:tblLayout w:type="fixed"/>
        <w:tblCellMar>
          <w:top w:w="28" w:type="dxa"/>
          <w:left w:w="28" w:type="dxa"/>
          <w:bottom w:w="28" w:type="dxa"/>
          <w:right w:w="28" w:type="dxa"/>
        </w:tblCellMar>
      </w:tblPr>
      <w:tblGrid>
        <w:gridCol w:w="1266"/>
        <w:gridCol w:w="1119"/>
        <w:gridCol w:w="1125"/>
        <w:gridCol w:w="273"/>
        <w:gridCol w:w="1071"/>
        <w:gridCol w:w="141"/>
        <w:gridCol w:w="109"/>
        <w:gridCol w:w="109"/>
        <w:gridCol w:w="109"/>
        <w:gridCol w:w="276"/>
        <w:gridCol w:w="946"/>
        <w:gridCol w:w="143"/>
        <w:gridCol w:w="109"/>
        <w:gridCol w:w="109"/>
        <w:gridCol w:w="109"/>
        <w:gridCol w:w="307"/>
        <w:gridCol w:w="898"/>
        <w:gridCol w:w="159"/>
        <w:gridCol w:w="109"/>
        <w:gridCol w:w="109"/>
        <w:gridCol w:w="109"/>
        <w:gridCol w:w="211"/>
        <w:gridCol w:w="826"/>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Quoted Prices in </w:t>
              <w:br/>
              <w:t>Active Markets for</w:t>
              <w:br/>
              <w:t>Identical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w:t>
              <w:br/>
              <w:t>Observable</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w:t>
              <w:br/>
              <w:t>Unobservable</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June 30, 2026</w:t>
            </w:r>
          </w:p>
        </w:tc>
        <w:tc>
          <w:tcPr>
            <w:tcW w:w="14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Cash equivalents - Money market funds</w:t>
            </w:r>
            <w:r>
              <w:rPr>
                <w:rFonts w:ascii="Times New Roman;serif" w:hAnsi="Times New Roman;serif"/>
                <w:b w:val="false"/>
                <w:color w:val="000000"/>
                <w:sz w:val="13"/>
              </w:rPr>
              <w:t>(1)</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Mutual funds</w:t>
            </w:r>
            <w:r>
              <w:rPr>
                <w:rFonts w:ascii="Times New Roman;serif" w:hAnsi="Times New Roman;serif"/>
                <w:b w:val="false"/>
                <w:color w:val="000000"/>
                <w:sz w:val="13"/>
              </w:rPr>
              <w:t>(1)</w:t>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98,499 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Derivative financial instruments </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135,287 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4,483 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139,770 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4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Derivative financial instruments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48,500 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Contingent consideration</w:t>
            </w:r>
            <w:r>
              <w:rPr>
                <w:rFonts w:ascii="Times New Roman;serif" w:hAnsi="Times New Roman;serif"/>
                <w:b w:val="false"/>
                <w:color w:val="000000"/>
                <w:sz w:val="13"/>
              </w:rPr>
              <w:t>(2)</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48,500 </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56,500 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tbl>
      <w:tblPr>
        <w:tblW w:w="9895" w:type="dxa"/>
        <w:jc w:val="left"/>
        <w:tblInd w:w="0" w:type="dxa"/>
        <w:tblLayout w:type="fixed"/>
        <w:tblCellMar>
          <w:top w:w="28" w:type="dxa"/>
          <w:left w:w="28" w:type="dxa"/>
          <w:bottom w:w="28" w:type="dxa"/>
          <w:right w:w="28" w:type="dxa"/>
        </w:tblCellMar>
      </w:tblPr>
      <w:tblGrid>
        <w:gridCol w:w="1271"/>
        <w:gridCol w:w="1117"/>
        <w:gridCol w:w="1121"/>
        <w:gridCol w:w="273"/>
        <w:gridCol w:w="1071"/>
        <w:gridCol w:w="141"/>
        <w:gridCol w:w="109"/>
        <w:gridCol w:w="109"/>
        <w:gridCol w:w="109"/>
        <w:gridCol w:w="276"/>
        <w:gridCol w:w="946"/>
        <w:gridCol w:w="143"/>
        <w:gridCol w:w="109"/>
        <w:gridCol w:w="109"/>
        <w:gridCol w:w="109"/>
        <w:gridCol w:w="307"/>
        <w:gridCol w:w="898"/>
        <w:gridCol w:w="159"/>
        <w:gridCol w:w="109"/>
        <w:gridCol w:w="109"/>
        <w:gridCol w:w="109"/>
        <w:gridCol w:w="211"/>
        <w:gridCol w:w="826"/>
        <w:gridCol w:w="154"/>
      </w:tblGrid>
      <w:tr>
        <w:trPr/>
        <w:tc>
          <w:tcPr>
            <w:tcW w:w="127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Quoted Prices in </w:t>
              <w:br/>
              <w:t>Active Markets for</w:t>
              <w:br/>
              <w:t>Identical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w:t>
              <w:br/>
              <w:t>Observable</w:t>
              <w:br/>
              <w:t>Inputs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w:t>
              <w:br/>
              <w:t>Unobservable</w:t>
              <w:br/>
              <w:t>Inputs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December 31, 2025</w:t>
            </w:r>
          </w:p>
        </w:tc>
        <w:tc>
          <w:tcPr>
            <w:tcW w:w="14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Cash equivalents - Money market funds</w:t>
            </w:r>
            <w:r>
              <w:rPr>
                <w:rFonts w:ascii="Times New Roman;serif" w:hAnsi="Times New Roman;serif"/>
                <w:b w:val="false"/>
                <w:color w:val="000000"/>
                <w:sz w:val="13"/>
              </w:rPr>
              <w:t>(1)</w:t>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50,971 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50,971 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Mutual funds</w:t>
            </w:r>
            <w:r>
              <w:rPr>
                <w:rFonts w:ascii="Times New Roman;serif" w:hAnsi="Times New Roman;serif"/>
                <w:b w:val="false"/>
                <w:color w:val="000000"/>
                <w:sz w:val="13"/>
              </w:rPr>
              <w:t>(1)</w:t>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129,549 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Derivative financial instruments </w:t>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6,064 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180,520 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6,064 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186,584 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4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Derivative financial instruments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Contingent consideration</w:t>
            </w:r>
            <w:r>
              <w:rPr>
                <w:rFonts w:ascii="Times New Roman;serif" w:hAnsi="Times New Roman;serif"/>
                <w:b w:val="false"/>
                <w:color w:val="000000"/>
                <w:sz w:val="13"/>
              </w:rPr>
              <w:t>(2)</w:t>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25,208 </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(1) Represents money market funds and short-term investments which are carried at the fair value option under ASC Topic 825 “Financial Instruments”.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(2) Contingent consideration is presented under “Accrued expenses and other current liabilities” in the consolidated balance sheets.</w:t>
      </w:r>
    </w:p>
    <w:p>
      <w:pPr>
        <w:pStyle w:val="TextBody"/>
        <w:bidi w:val="0"/>
        <w:spacing w:lineRule="auto" w:line="276" w:before="0" w:after="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Fair Value of Derivative Financial Instruments:</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Fair values for derivative financial instruments are based on independent sources including highly rated financial institutions and are classified as Level 2. Refer to Note 17 - Derivatives and Hedge Accounting to the unaudited consolidated financial statements for further details.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Fair Value of Contingent Consideration:</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 measurement of contingent consideration is determined using Level 3 inputs. The Company’s contingent consideration represents a component of the total purchase consideration for business acquisitions. The measurement is calculated using unobservable inputs based on the Company’s own assessment of achievement of certain performance goals. The Company estimated the fair value of the contingent consideration based on the Monte Carlo simulation model.</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the fair value of contingent consideration:</w:t>
      </w:r>
    </w:p>
    <w:tbl>
      <w:tblPr>
        <w:tblW w:w="6587" w:type="dxa"/>
        <w:jc w:val="left"/>
        <w:tblInd w:w="0" w:type="dxa"/>
        <w:tblLayout w:type="fixed"/>
        <w:tblCellMar>
          <w:top w:w="28" w:type="dxa"/>
          <w:left w:w="28" w:type="dxa"/>
          <w:bottom w:w="28" w:type="dxa"/>
          <w:right w:w="28" w:type="dxa"/>
        </w:tblCellMar>
      </w:tblPr>
      <w:tblGrid>
        <w:gridCol w:w="592"/>
        <w:gridCol w:w="520"/>
        <w:gridCol w:w="522"/>
        <w:gridCol w:w="228"/>
        <w:gridCol w:w="668"/>
        <w:gridCol w:w="118"/>
        <w:gridCol w:w="118"/>
        <w:gridCol w:w="118"/>
        <w:gridCol w:w="118"/>
        <w:gridCol w:w="228"/>
        <w:gridCol w:w="668"/>
        <w:gridCol w:w="118"/>
        <w:gridCol w:w="109"/>
        <w:gridCol w:w="109"/>
        <w:gridCol w:w="109"/>
        <w:gridCol w:w="211"/>
        <w:gridCol w:w="616"/>
        <w:gridCol w:w="109"/>
        <w:gridCol w:w="109"/>
        <w:gridCol w:w="109"/>
        <w:gridCol w:w="109"/>
        <w:gridCol w:w="211"/>
        <w:gridCol w:w="616"/>
        <w:gridCol w:w="154"/>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Opening balance</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Closing balance</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left"/>
        <w:rPr>
          <w:rFonts w:ascii="Times New Roman;serif" w:hAnsi="Times New Roman;serif"/>
          <w:b w:val="false"/>
          <w:color w:val="000000"/>
          <w:sz w:val="19"/>
        </w:rPr>
      </w:pPr>
      <w:r>
        <w:rPr>
          <w:rFonts w:ascii="Times New Roman;serif" w:hAnsi="Times New Roman;serif"/>
          <w:b w:val="false"/>
          <w:color w:val="000000"/>
          <w:sz w:val="19"/>
        </w:rPr>
        <w:t>During the three and six months ended June 30, 2026 and 2025, there were no transfers among Level 1, Level 2 and Level 3.</w:t>
      </w:r>
    </w:p>
    <w:p>
      <w:pPr>
        <w:pStyle w:val="TextBody"/>
        <w:bidi w:val="0"/>
        <w:spacing w:before="0" w:after="0"/>
        <w:ind w:left="0" w:right="0" w:firstLine="450"/>
        <w:jc w:val="left"/>
        <w:rPr/>
      </w:pPr>
      <w:r>
        <w:rPr/>
      </w:r>
    </w:p>
    <w:p>
      <w:pPr>
        <w:pStyle w:val="TextBody"/>
        <w:bidi w:val="0"/>
        <w:spacing w:lineRule="auto" w:line="268" w:before="0" w:after="0"/>
        <w:jc w:val="left"/>
        <w:rPr/>
      </w:pPr>
      <w:r>
        <w:rPr>
          <w:rFonts w:ascii="Times New Roman;serif" w:hAnsi="Times New Roman;serif"/>
          <w:b w:val="false"/>
          <w:i/>
          <w:color w:val="000000"/>
          <w:sz w:val="20"/>
        </w:rPr>
        <w:t>Financial Instruments Not Carried at Fair Value</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other financial instruments not carried at fair value consist primarily of cash and cash equivalents (except investments in money market funds, as disclosed above), short-term investments (except investments in mutual funds, as disclosed above), restricted cash, accounts receivable, net, long-term investments, accrued capital expenditures, accrued expenses, client liabilities and interest payable on borrowings for which fair values approximate their carrying amounts. The carrying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of the Company’s outstanding revolving credit facility and term loan facility approximates its fair value because the Company’s interest rate yield is near current market rates for comparable debt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17. Derivatives and Hedge Accounting</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pPr>
      <w:r>
        <w:rPr>
          <w:rFonts w:ascii="Times New Roman;serif" w:hAnsi="Times New Roman;serif"/>
          <w:b w:val="false"/>
          <w:color w:val="000000"/>
          <w:sz w:val="20"/>
        </w:rPr>
        <w:t xml:space="preserve">The Company uses derivative instruments to mitigate cash flow volatility from risk of fluctuations in foreign currency exchange rates and interest rates. The Company enters into foreign currency forward contracts to hedge cash flow risks from forecasted revenues and other transactions denominated in certain foreign currencies. These contracts qualify as cash flow hedges under ASC Topic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and are with counterparties that are highly rated financial institutions.</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aggregate notional amount of derivatives in cash flow hedging relationship:</w:t>
      </w:r>
    </w:p>
    <w:tbl>
      <w:tblPr>
        <w:tblW w:w="8076" w:type="dxa"/>
        <w:jc w:val="left"/>
        <w:tblInd w:w="0" w:type="dxa"/>
        <w:tblLayout w:type="fixed"/>
        <w:tblCellMar>
          <w:top w:w="28" w:type="dxa"/>
          <w:left w:w="28" w:type="dxa"/>
          <w:bottom w:w="28" w:type="dxa"/>
          <w:right w:w="28" w:type="dxa"/>
        </w:tblCellMar>
      </w:tblPr>
      <w:tblGrid>
        <w:gridCol w:w="1655"/>
        <w:gridCol w:w="1456"/>
        <w:gridCol w:w="1463"/>
        <w:gridCol w:w="109"/>
        <w:gridCol w:w="109"/>
        <w:gridCol w:w="109"/>
        <w:gridCol w:w="413"/>
        <w:gridCol w:w="413"/>
        <w:gridCol w:w="386"/>
        <w:gridCol w:w="109"/>
        <w:gridCol w:w="109"/>
        <w:gridCol w:w="109"/>
        <w:gridCol w:w="488"/>
        <w:gridCol w:w="488"/>
        <w:gridCol w:w="660"/>
      </w:tblGrid>
      <w:tr>
        <w:trPr/>
        <w:tc>
          <w:tcPr>
            <w:tcW w:w="1655"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Foreign currency forward contracts denominated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 U.S. dollar (USD)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992,400 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1,134,800 </w:t>
            </w:r>
          </w:p>
        </w:tc>
        <w:tc>
          <w:tcPr>
            <w:tcW w:w="6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 U.S. dollar (USD)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5,159 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12,075 </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estimates that approximately $28,304 of derivative loss, net, excluding tax effects, included in AOCI, representing changes in the value of cash flow hedges based on exchange rates prevailing as of June 30, 2026, could be reclassified into earnings within the next twelve months. As of June 30, 2026, the maximum outstanding term of the cash flow hedges was approximately 36 months.</w:t>
      </w:r>
    </w:p>
    <w:p>
      <w:pPr>
        <w:pStyle w:val="TextBody"/>
        <w:bidi w:val="0"/>
        <w:spacing w:before="0" w:after="0"/>
        <w:jc w:val="both"/>
        <w:rPr/>
      </w:pPr>
      <w:r>
        <w:rPr/>
      </w:r>
    </w:p>
    <w:p>
      <w:pPr>
        <w:pStyle w:val="TextBody"/>
        <w:bidi w:val="0"/>
        <w:spacing w:lineRule="auto" w:line="268" w:before="0" w:after="0"/>
        <w:ind w:left="0" w:right="0" w:firstLine="450"/>
        <w:jc w:val="both"/>
        <w:rPr/>
      </w:pPr>
      <w:r>
        <w:rPr>
          <w:rFonts w:ascii="Times New Roman;serif" w:hAnsi="Times New Roman;serif"/>
          <w:b w:val="false"/>
          <w:color w:val="000000"/>
          <w:sz w:val="20"/>
        </w:rPr>
        <w:t xml:space="preserve">The Company also enters into foreign currency forward contracts to hedge its intercompany balances and other monetary assets and liabilities denominated in currencies other than functional currencies, against the risk of fluctuations in foreign currency exchange rates associated with remeasurement of such assets and liabilities to functional currency. These foreign currency forward contracts do not qualify as fair value hedges under ASC Topic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Changes in the fair value of these financial instruments are recognized in the unaudited consolidated statements of income and are included in the foreign exchange gain, net line item.</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aggregate notional principal amounts of outstanding foreign currency forward contracts for derivatives not designated as hedging instruments:</w:t>
      </w:r>
    </w:p>
    <w:tbl>
      <w:tblPr>
        <w:tblW w:w="7554" w:type="dxa"/>
        <w:jc w:val="left"/>
        <w:tblInd w:w="0" w:type="dxa"/>
        <w:tblLayout w:type="fixed"/>
        <w:tblCellMar>
          <w:top w:w="28" w:type="dxa"/>
          <w:left w:w="28" w:type="dxa"/>
          <w:bottom w:w="28" w:type="dxa"/>
          <w:right w:w="28" w:type="dxa"/>
        </w:tblCellMar>
      </w:tblPr>
      <w:tblGrid>
        <w:gridCol w:w="1505"/>
        <w:gridCol w:w="1321"/>
        <w:gridCol w:w="1328"/>
        <w:gridCol w:w="109"/>
        <w:gridCol w:w="109"/>
        <w:gridCol w:w="109"/>
        <w:gridCol w:w="413"/>
        <w:gridCol w:w="413"/>
        <w:gridCol w:w="376"/>
        <w:gridCol w:w="109"/>
        <w:gridCol w:w="109"/>
        <w:gridCol w:w="109"/>
        <w:gridCol w:w="452"/>
        <w:gridCol w:w="452"/>
        <w:gridCol w:w="640"/>
      </w:tblGrid>
      <w:tr>
        <w:trPr/>
        <w:tc>
          <w:tcPr>
            <w:tcW w:w="150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Foreign currency forward contracts denominated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 USD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244,088 </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217,040 </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 GBP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35,962 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 EUR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7,376 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7,722 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 AUD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4,619 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4,917 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 USD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fair value of the foreign currency forward contracts and their location on the consolidated balance sheets:</w:t>
      </w:r>
    </w:p>
    <w:tbl>
      <w:tblPr>
        <w:tblW w:w="9493" w:type="dxa"/>
        <w:jc w:val="left"/>
        <w:tblInd w:w="0" w:type="dxa"/>
        <w:tblLayout w:type="fixed"/>
        <w:tblCellMar>
          <w:top w:w="28" w:type="dxa"/>
          <w:left w:w="28" w:type="dxa"/>
          <w:bottom w:w="28" w:type="dxa"/>
          <w:right w:w="28" w:type="dxa"/>
        </w:tblCellMar>
      </w:tblPr>
      <w:tblGrid>
        <w:gridCol w:w="876"/>
        <w:gridCol w:w="773"/>
        <w:gridCol w:w="780"/>
        <w:gridCol w:w="109"/>
        <w:gridCol w:w="109"/>
        <w:gridCol w:w="109"/>
        <w:gridCol w:w="234"/>
        <w:gridCol w:w="800"/>
        <w:gridCol w:w="120"/>
        <w:gridCol w:w="118"/>
        <w:gridCol w:w="118"/>
        <w:gridCol w:w="118"/>
        <w:gridCol w:w="313"/>
        <w:gridCol w:w="1071"/>
        <w:gridCol w:w="161"/>
        <w:gridCol w:w="109"/>
        <w:gridCol w:w="109"/>
        <w:gridCol w:w="109"/>
        <w:gridCol w:w="335"/>
        <w:gridCol w:w="740"/>
        <w:gridCol w:w="173"/>
        <w:gridCol w:w="173"/>
        <w:gridCol w:w="173"/>
        <w:gridCol w:w="173"/>
        <w:gridCol w:w="404"/>
        <w:gridCol w:w="892"/>
        <w:gridCol w:w="294"/>
      </w:tblGrid>
      <w:tr>
        <w:trPr/>
        <w:tc>
          <w:tcPr>
            <w:tcW w:w="87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Derivatives in cash flow hedging </w:t>
              <w:br/>
              <w:t>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Derivatives not designated as hedging </w:t>
              <w:br/>
              <w:t>instruments</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Accrued expenses and other </w:t>
              <w:b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31,723 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effect of foreign currency forward contracts on AOCI and the unaudited consolidated statements of income:</w:t>
      </w:r>
    </w:p>
    <w:p>
      <w:pPr>
        <w:pStyle w:val="TextBody"/>
        <w:bidi w:val="0"/>
        <w:spacing w:before="0" w:after="0"/>
        <w:ind w:left="0" w:right="0" w:firstLine="450"/>
        <w:jc w:val="both"/>
        <w:rPr/>
      </w:pPr>
      <w:r>
        <w:rPr/>
      </w:r>
    </w:p>
    <w:tbl>
      <w:tblPr>
        <w:tblW w:w="10205" w:type="dxa"/>
        <w:jc w:val="left"/>
        <w:tblInd w:w="0" w:type="dxa"/>
        <w:tblLayout w:type="fixed"/>
        <w:tblCellMar>
          <w:top w:w="28" w:type="dxa"/>
          <w:left w:w="28" w:type="dxa"/>
          <w:bottom w:w="28" w:type="dxa"/>
          <w:right w:w="28" w:type="dxa"/>
        </w:tblCellMar>
      </w:tblPr>
      <w:tblGrid>
        <w:gridCol w:w="1731"/>
        <w:gridCol w:w="1475"/>
        <w:gridCol w:w="1484"/>
        <w:gridCol w:w="109"/>
        <w:gridCol w:w="109"/>
        <w:gridCol w:w="109"/>
        <w:gridCol w:w="218"/>
        <w:gridCol w:w="639"/>
        <w:gridCol w:w="112"/>
        <w:gridCol w:w="112"/>
        <w:gridCol w:w="112"/>
        <w:gridCol w:w="112"/>
        <w:gridCol w:w="218"/>
        <w:gridCol w:w="703"/>
        <w:gridCol w:w="112"/>
        <w:gridCol w:w="109"/>
        <w:gridCol w:w="109"/>
        <w:gridCol w:w="109"/>
        <w:gridCol w:w="211"/>
        <w:gridCol w:w="782"/>
        <w:gridCol w:w="109"/>
        <w:gridCol w:w="109"/>
        <w:gridCol w:w="109"/>
        <w:gridCol w:w="109"/>
        <w:gridCol w:w="211"/>
        <w:gridCol w:w="721"/>
        <w:gridCol w:w="162"/>
      </w:tblGrid>
      <w:tr>
        <w:trPr/>
        <w:tc>
          <w:tcPr>
            <w:tcW w:w="1731"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 financial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Unrealized gain/(loss) recognized in other comprehensive income (“OCI”)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in cash flow hedging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Gain/(loss) recognized in unaudited consolidated statements of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68" w:before="3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location and amount of gain/(loss) recognized in unaudited consolidated statements of income for derivatives in cash flow hedging relationships and derivatives not designated as hedging instruments:</w:t>
      </w:r>
    </w:p>
    <w:tbl>
      <w:tblPr>
        <w:tblW w:w="10205" w:type="dxa"/>
        <w:jc w:val="left"/>
        <w:tblInd w:w="0" w:type="dxa"/>
        <w:tblLayout w:type="fixed"/>
        <w:tblCellMar>
          <w:top w:w="28" w:type="dxa"/>
          <w:left w:w="28" w:type="dxa"/>
          <w:bottom w:w="28" w:type="dxa"/>
          <w:right w:w="28" w:type="dxa"/>
        </w:tblCellMar>
      </w:tblPr>
      <w:tblGrid>
        <w:gridCol w:w="1056"/>
        <w:gridCol w:w="877"/>
        <w:gridCol w:w="881"/>
        <w:gridCol w:w="109"/>
        <w:gridCol w:w="109"/>
        <w:gridCol w:w="109"/>
        <w:gridCol w:w="262"/>
        <w:gridCol w:w="1027"/>
        <w:gridCol w:w="135"/>
        <w:gridCol w:w="109"/>
        <w:gridCol w:w="109"/>
        <w:gridCol w:w="109"/>
        <w:gridCol w:w="351"/>
        <w:gridCol w:w="1056"/>
        <w:gridCol w:w="183"/>
        <w:gridCol w:w="109"/>
        <w:gridCol w:w="109"/>
        <w:gridCol w:w="109"/>
        <w:gridCol w:w="262"/>
        <w:gridCol w:w="1027"/>
        <w:gridCol w:w="135"/>
        <w:gridCol w:w="109"/>
        <w:gridCol w:w="109"/>
        <w:gridCol w:w="109"/>
        <w:gridCol w:w="345"/>
        <w:gridCol w:w="1037"/>
        <w:gridCol w:w="263"/>
      </w:tblGrid>
      <w:tr>
        <w:trPr/>
        <w:tc>
          <w:tcPr>
            <w:tcW w:w="10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4"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6"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per unaudited consolidated</w:t>
              <w:br/>
              <w:t>statements of</w:t>
              <w:br/>
              <w:t>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Gain/(loss) on 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per unaudited consolidated</w:t>
              <w:br/>
              <w:t>statements of</w:t>
              <w:br/>
              <w:t>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Gain/(loss) on derivative financial instruments</w:t>
            </w:r>
          </w:p>
        </w:tc>
      </w:tr>
      <w:tr>
        <w:trPr/>
        <w:tc>
          <w:tcPr>
            <w:tcW w:w="281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in cash flow hedging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Location in unaudited consolidated statements of income where gain/(loss) was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594,763 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514,460 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(7,043)</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320,272 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74,436 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59,549 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49,628 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39,446 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before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(7,807)</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effects on above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(6,232)</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Location in unaudited consolidated statements of income where gain/(loss) was recognized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340" w:after="283"/>
        <w:ind w:left="0" w:right="0" w:firstLine="450"/>
        <w:jc w:val="left"/>
        <w:rPr/>
      </w:pPr>
      <w:r>
        <w:rPr/>
      </w:r>
    </w:p>
    <w:p>
      <w:pPr>
        <w:pStyle w:val="TextBody"/>
        <w:bidi w:val="0"/>
        <w:spacing w:before="340" w:after="283"/>
        <w:ind w:left="0" w:right="0" w:firstLine="450"/>
        <w:jc w:val="left"/>
        <w:rPr/>
      </w:pPr>
      <w:r>
        <w:rPr/>
      </w:r>
    </w:p>
    <w:p>
      <w:pPr>
        <w:pStyle w:val="TextBody"/>
        <w:bidi w:val="0"/>
        <w:spacing w:before="340" w:after="283"/>
        <w:ind w:left="0" w:right="0" w:firstLine="450"/>
        <w:jc w:val="left"/>
        <w:rPr/>
      </w:pPr>
      <w:r>
        <w:rPr/>
      </w:r>
    </w:p>
    <w:p>
      <w:pPr>
        <w:pStyle w:val="TextBody"/>
        <w:bidi w:val="0"/>
        <w:spacing w:before="340" w:after="283"/>
        <w:ind w:left="0" w:right="0" w:firstLine="450"/>
        <w:jc w:val="left"/>
        <w:rPr/>
      </w:pPr>
      <w:r>
        <w:rPr/>
      </w:r>
    </w:p>
    <w:p>
      <w:pPr>
        <w:pStyle w:val="TextBody"/>
        <w:bidi w:val="0"/>
        <w:spacing w:before="340" w:after="283"/>
        <w:ind w:left="0" w:right="0" w:firstLine="450"/>
        <w:jc w:val="left"/>
        <w:rPr/>
      </w:pPr>
      <w:r>
        <w:rPr/>
      </w:r>
    </w:p>
    <w:p>
      <w:pPr>
        <w:pStyle w:val="TextBody"/>
        <w:bidi w:val="0"/>
        <w:spacing w:before="340" w:after="283"/>
        <w:ind w:left="0" w:right="0" w:firstLine="450"/>
        <w:jc w:val="left"/>
        <w:rPr/>
      </w:pPr>
      <w:r>
        <w:rPr/>
      </w:r>
    </w:p>
    <w:p>
      <w:pPr>
        <w:pStyle w:val="TextBody"/>
        <w:bidi w:val="0"/>
        <w:spacing w:before="340" w:after="283"/>
        <w:ind w:left="0" w:right="0" w:firstLine="450"/>
        <w:jc w:val="left"/>
        <w:rPr/>
      </w:pPr>
      <w:r>
        <w:rPr/>
      </w:r>
    </w:p>
    <w:p>
      <w:pPr>
        <w:pStyle w:val="TextBody"/>
        <w:bidi w:val="0"/>
        <w:spacing w:before="340" w:after="283"/>
        <w:ind w:left="0" w:right="0" w:firstLine="450"/>
        <w:jc w:val="left"/>
        <w:rPr/>
      </w:pPr>
      <w:r>
        <w:rPr/>
      </w:r>
    </w:p>
    <w:p>
      <w:pPr>
        <w:pStyle w:val="TextBody"/>
        <w:bidi w:val="0"/>
        <w:spacing w:before="340" w:after="283"/>
        <w:ind w:left="0" w:right="0" w:firstLine="450"/>
        <w:jc w:val="left"/>
        <w:rPr/>
      </w:pPr>
      <w:r>
        <w:rPr/>
      </w:r>
    </w:p>
    <w:p>
      <w:pPr>
        <w:pStyle w:val="TextBody"/>
        <w:bidi w:val="0"/>
        <w:spacing w:before="340" w:after="283"/>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88" w:before="3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location and amount of gain/(loss) recognized in unaudited consolidated statements of income for derivatives in cash flow hedging relationships and derivatives not designated as hedging instruments:</w:t>
      </w:r>
    </w:p>
    <w:tbl>
      <w:tblPr>
        <w:tblW w:w="10205" w:type="dxa"/>
        <w:jc w:val="left"/>
        <w:tblInd w:w="0" w:type="dxa"/>
        <w:tblLayout w:type="fixed"/>
        <w:tblCellMar>
          <w:top w:w="28" w:type="dxa"/>
          <w:left w:w="28" w:type="dxa"/>
          <w:bottom w:w="28" w:type="dxa"/>
          <w:right w:w="28" w:type="dxa"/>
        </w:tblCellMar>
      </w:tblPr>
      <w:tblGrid>
        <w:gridCol w:w="1066"/>
        <w:gridCol w:w="811"/>
        <w:gridCol w:w="814"/>
        <w:gridCol w:w="109"/>
        <w:gridCol w:w="109"/>
        <w:gridCol w:w="109"/>
        <w:gridCol w:w="248"/>
        <w:gridCol w:w="1147"/>
        <w:gridCol w:w="128"/>
        <w:gridCol w:w="109"/>
        <w:gridCol w:w="109"/>
        <w:gridCol w:w="109"/>
        <w:gridCol w:w="304"/>
        <w:gridCol w:w="1101"/>
        <w:gridCol w:w="157"/>
        <w:gridCol w:w="109"/>
        <w:gridCol w:w="109"/>
        <w:gridCol w:w="109"/>
        <w:gridCol w:w="248"/>
        <w:gridCol w:w="1147"/>
        <w:gridCol w:w="128"/>
        <w:gridCol w:w="109"/>
        <w:gridCol w:w="109"/>
        <w:gridCol w:w="109"/>
        <w:gridCol w:w="336"/>
        <w:gridCol w:w="1009"/>
        <w:gridCol w:w="253"/>
      </w:tblGrid>
      <w:tr>
        <w:trPr/>
        <w:tc>
          <w:tcPr>
            <w:tcW w:w="106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2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7"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2"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per unaudited consolidated</w:t>
              <w:br/>
              <w:t>statements of</w:t>
              <w:br/>
              <w:t>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Gain/(loss) on 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per unaudited consolidated</w:t>
              <w:br/>
              <w:t>statements of</w:t>
              <w:br/>
              <w:t>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Gain/(loss) on derivative financial instruments</w:t>
            </w:r>
          </w:p>
        </w:tc>
      </w:tr>
      <w:tr>
        <w:trPr/>
        <w:tc>
          <w:tcPr>
            <w:tcW w:w="26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in cash flow hedging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Location in unaudited consolidated statements of income where gain/(loss) was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1,165,114 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1,015,479 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717,070 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627,977 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143,487 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118,966 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96,829 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81,371 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2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before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(12,729)</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effects on above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(10,062)</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Location in unaudited consolidated statements of income where gain/(loss) was recognized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18. Borrowings</w:t>
      </w:r>
    </w:p>
    <w:p>
      <w:pPr>
        <w:pStyle w:val="TextBody"/>
        <w:bidi w:val="0"/>
        <w:spacing w:lineRule="auto" w:line="288" w:before="360" w:after="283"/>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the Company’s debt position:</w:t>
      </w:r>
    </w:p>
    <w:tbl>
      <w:tblPr>
        <w:tblW w:w="10205" w:type="dxa"/>
        <w:jc w:val="left"/>
        <w:tblInd w:w="0" w:type="dxa"/>
        <w:tblLayout w:type="fixed"/>
        <w:tblCellMar>
          <w:top w:w="28" w:type="dxa"/>
          <w:left w:w="28" w:type="dxa"/>
          <w:bottom w:w="28" w:type="dxa"/>
          <w:right w:w="28" w:type="dxa"/>
        </w:tblCellMar>
      </w:tblPr>
      <w:tblGrid>
        <w:gridCol w:w="623"/>
        <w:gridCol w:w="447"/>
        <w:gridCol w:w="448"/>
        <w:gridCol w:w="231"/>
        <w:gridCol w:w="905"/>
        <w:gridCol w:w="119"/>
        <w:gridCol w:w="109"/>
        <w:gridCol w:w="109"/>
        <w:gridCol w:w="109"/>
        <w:gridCol w:w="223"/>
        <w:gridCol w:w="762"/>
        <w:gridCol w:w="115"/>
        <w:gridCol w:w="109"/>
        <w:gridCol w:w="109"/>
        <w:gridCol w:w="109"/>
        <w:gridCol w:w="211"/>
        <w:gridCol w:w="826"/>
        <w:gridCol w:w="109"/>
        <w:gridCol w:w="109"/>
        <w:gridCol w:w="109"/>
        <w:gridCol w:w="109"/>
        <w:gridCol w:w="231"/>
        <w:gridCol w:w="905"/>
        <w:gridCol w:w="119"/>
        <w:gridCol w:w="109"/>
        <w:gridCol w:w="109"/>
        <w:gridCol w:w="109"/>
        <w:gridCol w:w="223"/>
        <w:gridCol w:w="762"/>
        <w:gridCol w:w="115"/>
        <w:gridCol w:w="109"/>
        <w:gridCol w:w="109"/>
        <w:gridCol w:w="109"/>
        <w:gridCol w:w="211"/>
        <w:gridCol w:w="826"/>
        <w:gridCol w:w="159"/>
      </w:tblGrid>
      <w:tr>
        <w:trPr/>
        <w:tc>
          <w:tcPr>
            <w:tcW w:w="62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Revolving credit facility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 loan facility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Revolving credit facility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 loan facility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borrowings</w:t>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290,000 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91,250 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portion of long-term borrowings</w:t>
            </w:r>
          </w:p>
        </w:tc>
        <w:tc>
          <w:tcPr>
            <w:tcW w:w="11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290,000 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91,155 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381,155 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4,886 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4,886 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borrowings</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Long-term borrowings</w:t>
            </w:r>
          </w:p>
        </w:tc>
        <w:tc>
          <w:tcPr>
            <w:tcW w:w="11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205,000 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88,712 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293,712 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Borrowings</w:t>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290,000 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91,155 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381,155 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205,000 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93,598 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298,598 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68" w:before="3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Unamortized debt issuance costs for the Company’s revolving credit facility of $313 and $507 as of June 30, 2026 and December 31, 2025, respectively, are presented under “Other current assets” and “Other assets,” as applicable in the consolidated balance sheets.</w:t>
      </w:r>
    </w:p>
    <w:p>
      <w:pPr>
        <w:pStyle w:val="TextBody"/>
        <w:bidi w:val="0"/>
        <w:spacing w:before="360" w:after="283"/>
        <w:ind w:left="0" w:right="0" w:firstLine="450"/>
        <w:jc w:val="both"/>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Credit Agreement</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held a $300,000 revolving credit facility pursuant to its credit agreement (the “Credit Agreement”), dated as of November 21, 2017 with certain lenders and Citibank N.A. as Administrative Agent. This agreement was amended and restated in April 2022, followed by the First Amendment to Amended and Restated Credit Agreement in August 2024 (the “2024 Credit Agreement”). Among other things, the 2024 Credit Agreement increased revolving credit commitments to $500,000 and provided a new term loan facility of $100,000 with an annual repayment amount of 5%. The increased revolving credit facility and the new term loan facility both mature on April 18, 2027. The Company is in the process of refinancing its 2024 Credit Agreement, which is expected to be completed in the third quarter of 2026. The Company believes that it has access to adequate resources, which include cash and cash equivalents, short-term investments, cash provided by operating activities and unused amounts in its revolving credit facility to meet its needs for at least the next twelve months.</w:t>
      </w:r>
    </w:p>
    <w:p>
      <w:pPr>
        <w:pStyle w:val="TextBody"/>
        <w:bidi w:val="0"/>
        <w:spacing w:before="0" w:after="0"/>
        <w:ind w:left="0" w:right="0" w:firstLine="450"/>
        <w:jc w:val="both"/>
        <w:rPr/>
      </w:pPr>
      <w:r>
        <w:rPr/>
      </w:r>
    </w:p>
    <w:p>
      <w:pPr>
        <w:pStyle w:val="TextBody"/>
        <w:bidi w:val="0"/>
        <w:spacing w:lineRule="auto" w:line="264"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Under the 2024 Credit Agreement, obligations bear interest at a rate equal to specified prime rate (alternate base rate) or the adjusted secured overnight financing rate (SOFR) specified therein, plus, in each case, an applicable margin, and are guaranteed by the Company’s wholly-owned material domestic subsidiaries and secured by all or substantially all of the Company’s and its material domestic subsidiaries’ assets. The revolving credit commitments are subject to a commitment fee. The 2024 Credit Agreement includes a letter of credit sub facility and is voluntarily pre-payable from time to time without premium or penalty. Borrowings under the revolving credit facility can be used for working capital and general corporate purposes, including permitted acquisitions.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effective interest rates of the revolving credit facility and the term loan facility are as follows:</w:t>
      </w:r>
    </w:p>
    <w:p>
      <w:pPr>
        <w:pStyle w:val="TextBody"/>
        <w:bidi w:val="0"/>
        <w:spacing w:before="0" w:after="0"/>
        <w:ind w:left="0" w:right="0" w:firstLine="450"/>
        <w:jc w:val="both"/>
        <w:rPr/>
      </w:pPr>
      <w:r>
        <w:rPr/>
      </w:r>
    </w:p>
    <w:tbl>
      <w:tblPr>
        <w:tblW w:w="7168" w:type="dxa"/>
        <w:jc w:val="left"/>
        <w:tblInd w:w="0" w:type="dxa"/>
        <w:tblLayout w:type="fixed"/>
        <w:tblCellMar>
          <w:top w:w="28" w:type="dxa"/>
          <w:left w:w="28" w:type="dxa"/>
          <w:bottom w:w="28" w:type="dxa"/>
          <w:right w:w="28" w:type="dxa"/>
        </w:tblCellMar>
      </w:tblPr>
      <w:tblGrid>
        <w:gridCol w:w="771"/>
        <w:gridCol w:w="677"/>
        <w:gridCol w:w="681"/>
        <w:gridCol w:w="203"/>
        <w:gridCol w:w="203"/>
        <w:gridCol w:w="495"/>
        <w:gridCol w:w="199"/>
        <w:gridCol w:w="199"/>
        <w:gridCol w:w="199"/>
        <w:gridCol w:w="203"/>
        <w:gridCol w:w="203"/>
        <w:gridCol w:w="495"/>
        <w:gridCol w:w="109"/>
        <w:gridCol w:w="109"/>
        <w:gridCol w:w="109"/>
        <w:gridCol w:w="203"/>
        <w:gridCol w:w="203"/>
        <w:gridCol w:w="445"/>
        <w:gridCol w:w="179"/>
        <w:gridCol w:w="179"/>
        <w:gridCol w:w="179"/>
        <w:gridCol w:w="203"/>
        <w:gridCol w:w="203"/>
        <w:gridCol w:w="519"/>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5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facility</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was in compliance with the financial covenants under the 2024 Credit Agreement.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maturity profile of the Company’s long-term borrowings, excluding debt issuance costs, outstanding as of June 30, 2026 was as follows:</w:t>
      </w:r>
    </w:p>
    <w:p>
      <w:pPr>
        <w:pStyle w:val="TextBody"/>
        <w:bidi w:val="0"/>
        <w:spacing w:before="0" w:after="0"/>
        <w:ind w:left="0" w:right="0" w:firstLine="450"/>
        <w:jc w:val="both"/>
        <w:rPr/>
      </w:pPr>
      <w:r>
        <w:rPr/>
      </w:r>
    </w:p>
    <w:tbl>
      <w:tblPr>
        <w:tblW w:w="6144" w:type="dxa"/>
        <w:jc w:val="left"/>
        <w:tblInd w:w="0" w:type="dxa"/>
        <w:tblLayout w:type="fixed"/>
        <w:tblCellMar>
          <w:top w:w="28" w:type="dxa"/>
          <w:left w:w="28" w:type="dxa"/>
          <w:bottom w:w="28" w:type="dxa"/>
          <w:right w:w="28" w:type="dxa"/>
        </w:tblCellMar>
      </w:tblPr>
      <w:tblGrid>
        <w:gridCol w:w="874"/>
        <w:gridCol w:w="769"/>
        <w:gridCol w:w="771"/>
        <w:gridCol w:w="350"/>
        <w:gridCol w:w="1373"/>
        <w:gridCol w:w="181"/>
        <w:gridCol w:w="109"/>
        <w:gridCol w:w="109"/>
        <w:gridCol w:w="109"/>
        <w:gridCol w:w="291"/>
        <w:gridCol w:w="996"/>
        <w:gridCol w:w="212"/>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Revolving credit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 loan facility</w:t>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(July 1 - December 31)</w:t>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88,750 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290,000 </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91,250 </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Letters of Credit</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provides standby letters of credit to third parties primarily for facility leases. As of June 30, 2026 and December 31, 2025, the Company had outstanding letters of credit of $1,137 and $1,598, respectively, that were not recognized 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19. Capital Structure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has one class of common stock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before="120" w:after="283"/>
        <w:ind w:left="0" w:right="0" w:firstLine="495"/>
        <w:jc w:val="both"/>
        <w:rPr/>
      </w:pPr>
      <w:r>
        <w:rPr/>
      </w:r>
    </w:p>
    <w:p>
      <w:pPr>
        <w:pStyle w:val="TextBody"/>
        <w:bidi w:val="0"/>
        <w:spacing w:before="120" w:after="283"/>
        <w:ind w:left="0" w:right="0" w:firstLine="495"/>
        <w:jc w:val="both"/>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Share Repurchases</w:t>
      </w:r>
    </w:p>
    <w:p>
      <w:pPr>
        <w:pStyle w:val="TextBody"/>
        <w:bidi w:val="0"/>
        <w:spacing w:before="0" w:after="0"/>
        <w:ind w:left="0" w:right="0" w:firstLine="45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purchased shares of its common stock from certain employees in connection with withholding tax payments related to the vesting of restricted stock units and performance-based restricted stock units, as below:</w:t>
      </w:r>
    </w:p>
    <w:tbl>
      <w:tblPr>
        <w:tblW w:w="10205" w:type="dxa"/>
        <w:jc w:val="left"/>
        <w:tblInd w:w="0" w:type="dxa"/>
        <w:tblLayout w:type="fixed"/>
        <w:tblCellMar>
          <w:top w:w="28" w:type="dxa"/>
          <w:left w:w="28" w:type="dxa"/>
          <w:bottom w:w="28" w:type="dxa"/>
          <w:right w:w="28" w:type="dxa"/>
        </w:tblCellMar>
      </w:tblPr>
      <w:tblGrid>
        <w:gridCol w:w="1032"/>
        <w:gridCol w:w="905"/>
        <w:gridCol w:w="914"/>
        <w:gridCol w:w="535"/>
        <w:gridCol w:w="535"/>
        <w:gridCol w:w="537"/>
        <w:gridCol w:w="109"/>
        <w:gridCol w:w="109"/>
        <w:gridCol w:w="109"/>
        <w:gridCol w:w="353"/>
        <w:gridCol w:w="1031"/>
        <w:gridCol w:w="183"/>
        <w:gridCol w:w="109"/>
        <w:gridCol w:w="109"/>
        <w:gridCol w:w="109"/>
        <w:gridCol w:w="757"/>
        <w:gridCol w:w="2212"/>
        <w:gridCol w:w="557"/>
      </w:tblGrid>
      <w:tr>
        <w:trPr/>
        <w:tc>
          <w:tcPr>
            <w:tcW w:w="103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Weighted average purchase price per share </w:t>
            </w:r>
            <w:r>
              <w:rPr>
                <w:rFonts w:ascii="Times New Roman;serif" w:hAnsi="Times New Roman;serif"/>
                <w:b/>
                <w:color w:val="000000"/>
                <w:sz w:val="12"/>
              </w:rPr>
              <w:t>(1)</w:t>
            </w:r>
          </w:p>
        </w:tc>
      </w:tr>
      <w:tr>
        <w:trPr/>
        <w:tc>
          <w:tcPr>
            <w:tcW w:w="2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June 30, 2026</w:t>
            </w:r>
          </w:p>
        </w:tc>
        <w:tc>
          <w:tcPr>
            <w:tcW w:w="16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June 30, 2025</w:t>
            </w:r>
          </w:p>
        </w:tc>
        <w:tc>
          <w:tcPr>
            <w:tcW w:w="1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ended June 30, 2026</w:t>
            </w:r>
          </w:p>
        </w:tc>
        <w:tc>
          <w:tcPr>
            <w:tcW w:w="1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37.37 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ended June 30, 2025</w:t>
            </w:r>
          </w:p>
        </w:tc>
        <w:tc>
          <w:tcPr>
            <w:tcW w:w="1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49.46 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The weighted average purchase price per share is based on the closing price of the Company’s common stock on the Nasdaq Global Select Market on the trading day prior to the applicable vesting date of the restricted stock units.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February 26, 2024, the Company’s board of directors authorized a $500,000 (excluding excise tax) common stock repurchase program beginning March 1, 2024 (the “2024 Repurchase Program”), which was terminated effective February 28, 2026.</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February 19, 2026, the Company’s board of directors authorized a $500,000 (excluding excise tax) common stock repurchase program effective February 28, 2026 (the “2026 Repurchase Program”), which replaced the 2024 repurchase program.</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pPr>
      <w:r>
        <w:rPr>
          <w:rFonts w:ascii="Times New Roman;serif" w:hAnsi="Times New Roman;serif"/>
          <w:b w:val="false"/>
          <w:color w:val="000000"/>
          <w:sz w:val="20"/>
        </w:rPr>
        <w:t xml:space="preserve">On March 16, 2026, the Company entered into the 2026 ASR Agreement with Morgan Stanley to repurchase shares of its common stock for an aggregate purchase price of $125,000, as part of the Company’s 2026 Repurchase Program. Upon payment of the aggregate purchase price of $125,000, the Company received an initial delivery of 3,346,720 shares of its common stock at an initial price of $29.88 per share, representing 80% of the aggregate purchase price. The Company funded the repurchase with available cash on hand and borrowing from its revolving credit facility. The 2026 ASR Agreement was accounted for as a treasury stock transaction and forward stock purchase agreement indexed to the Company’s common stock. The forward stock purchase agreement was classified as an equity instrument under ASC Topic 815-40, </w:t>
      </w:r>
      <w:r>
        <w:rPr>
          <w:rFonts w:ascii="Times New Roman;serif" w:hAnsi="Times New Roman;serif"/>
          <w:b w:val="false"/>
          <w:i/>
          <w:color w:val="000000"/>
          <w:sz w:val="20"/>
        </w:rPr>
        <w:t>Contracts in Entity's Own Equity,</w:t>
      </w:r>
      <w:r>
        <w:rPr>
          <w:color w:val="000000"/>
        </w:rPr>
        <w:t xml:space="preserve"> </w:t>
      </w:r>
      <w:r>
        <w:rPr>
          <w:rFonts w:ascii="Times New Roman;serif" w:hAnsi="Times New Roman;serif"/>
          <w:b w:val="false"/>
          <w:color w:val="000000"/>
          <w:sz w:val="20"/>
        </w:rPr>
        <w:t>and deemed to have a fair value of zero at the effective date. The prepayment of $25,000 was initially recorded in additional paid-in capital, which reflected the pending settlement of the 2026 ASR Agreement. Under the terms of the 2026 ASR Agreement, the ultimate number of shares of common stock that the Company repurchased was based on the average of the daily volume-weighted average prices of the common stock during the term of the 2026 ASR Agreement, less a discount and subject to adjustments pursuant to the terms and conditions of the 2026 ASR Agreement.</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13, 2026, upon final settlement of the 2026 ASR Agreement, the Company received 799,960 additional shares of its common stock based on a daily volume-weighted average price of $30.14 per share during the term of the 2026 ASR Agreement. The additional shares received were recorded as treasury stock at a fair market value of $27.16 per share.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Under the Company’s repurchase program, shares may be purchased by the Company from time to time from the open market and through private transactions, or otherwise, as determined by the Company’s management as market conditions warrant. Repurchases may be discontinued at any time by the management.</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purchased shares of its common stock, for a total consideration including commissions but excluding excise tax, under its repurchase programs, as below:</w:t>
      </w:r>
    </w:p>
    <w:tbl>
      <w:tblPr>
        <w:tblW w:w="10205" w:type="dxa"/>
        <w:jc w:val="left"/>
        <w:tblInd w:w="0" w:type="dxa"/>
        <w:tblLayout w:type="fixed"/>
        <w:tblCellMar>
          <w:top w:w="28" w:type="dxa"/>
          <w:left w:w="28" w:type="dxa"/>
          <w:bottom w:w="28" w:type="dxa"/>
          <w:right w:w="28" w:type="dxa"/>
        </w:tblCellMar>
      </w:tblPr>
      <w:tblGrid>
        <w:gridCol w:w="1059"/>
        <w:gridCol w:w="928"/>
        <w:gridCol w:w="937"/>
        <w:gridCol w:w="541"/>
        <w:gridCol w:w="541"/>
        <w:gridCol w:w="543"/>
        <w:gridCol w:w="109"/>
        <w:gridCol w:w="109"/>
        <w:gridCol w:w="109"/>
        <w:gridCol w:w="290"/>
        <w:gridCol w:w="1141"/>
        <w:gridCol w:w="150"/>
        <w:gridCol w:w="109"/>
        <w:gridCol w:w="109"/>
        <w:gridCol w:w="109"/>
        <w:gridCol w:w="734"/>
        <w:gridCol w:w="2145"/>
        <w:gridCol w:w="542"/>
      </w:tblGrid>
      <w:tr>
        <w:trPr/>
        <w:tc>
          <w:tcPr>
            <w:tcW w:w="105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purchase price per share</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June 30, 2026</w:t>
            </w:r>
          </w:p>
        </w:tc>
        <w:tc>
          <w:tcPr>
            <w:tcW w:w="16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1,426,474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43,451 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30.46 </w:t>
            </w:r>
          </w:p>
        </w:tc>
        <w:tc>
          <w:tcPr>
            <w:tcW w:w="5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June 30, 2025</w:t>
            </w:r>
          </w:p>
        </w:tc>
        <w:tc>
          <w:tcPr>
            <w:tcW w:w="1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41,752 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ended June 30, 2026</w:t>
            </w:r>
          </w:p>
        </w:tc>
        <w:tc>
          <w:tcPr>
            <w:tcW w:w="1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5,801,580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179,254 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ended June 30, 2025</w:t>
            </w:r>
          </w:p>
        </w:tc>
        <w:tc>
          <w:tcPr>
            <w:tcW w:w="1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1,081,213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49,811 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46.07 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Repurchased shares have been recorded as treasury shares and will be held until the Company’s board of directors designates that these shares be retired or used for other purposes.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pPr>
      <w:r>
        <w:rPr>
          <w:rFonts w:ascii="Times New Roman;serif" w:hAnsi="Times New Roman;serif"/>
          <w:b w:val="false"/>
          <w:color w:val="000000"/>
          <w:sz w:val="20"/>
        </w:rPr>
        <w:t>Pursuant to the Inflation Reduction Act, the Company is required to pay a 1% excise tax on the fair market value of each share of common stock repurchased, net of stock issuances. The Company recognized excise tax of $357 and $(29), during the three months ended June 30, 2026 and 2025,</w:t>
      </w:r>
      <w:r>
        <w:rPr>
          <w:color w:val="000000"/>
        </w:rPr>
        <w:t xml:space="preserve"> </w:t>
      </w:r>
      <w:r>
        <w:rPr>
          <w:rFonts w:ascii="Times New Roman;serif" w:hAnsi="Times New Roman;serif"/>
          <w:b w:val="false"/>
          <w:color w:val="000000"/>
          <w:sz w:val="19"/>
        </w:rPr>
        <w:t xml:space="preserve">respectively, and </w:t>
      </w:r>
      <w:r>
        <w:rPr>
          <w:rFonts w:ascii="Times New Roman;serif" w:hAnsi="Times New Roman;serif"/>
          <w:b w:val="false"/>
          <w:color w:val="000000"/>
          <w:sz w:val="20"/>
        </w:rPr>
        <w:t>$1,143 and $(29), during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20. Employee Benefit Plans</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maintains a Gratuity Plan in India (the “India Plan”) and a retirement benefit plan in the Philippines (the “Philippines Plan”). The India Plan is partially funded whereas the Philippines Plan is unfunded. The Company expects to earn a return of approximately 7.5% per annum on the India Plan for the year ending on December 31, 2026.</w:t>
      </w:r>
    </w:p>
    <w:p>
      <w:pPr>
        <w:pStyle w:val="TextBody"/>
        <w:bidi w:val="0"/>
        <w:spacing w:before="0" w:after="0"/>
        <w:ind w:left="0" w:right="0" w:firstLine="450"/>
        <w:jc w:val="both"/>
        <w:rPr/>
      </w:pPr>
      <w:r>
        <w:rPr/>
      </w:r>
    </w:p>
    <w:tbl>
      <w:tblPr>
        <w:tblW w:w="4443" w:type="dxa"/>
        <w:jc w:val="left"/>
        <w:tblInd w:w="0" w:type="dxa"/>
        <w:tblLayout w:type="fixed"/>
        <w:tblCellMar>
          <w:top w:w="28" w:type="dxa"/>
          <w:left w:w="28" w:type="dxa"/>
          <w:bottom w:w="28" w:type="dxa"/>
          <w:right w:w="28" w:type="dxa"/>
        </w:tblCellMar>
      </w:tblPr>
      <w:tblGrid>
        <w:gridCol w:w="1095"/>
        <w:gridCol w:w="966"/>
        <w:gridCol w:w="969"/>
        <w:gridCol w:w="109"/>
        <w:gridCol w:w="109"/>
        <w:gridCol w:w="109"/>
        <w:gridCol w:w="211"/>
        <w:gridCol w:w="721"/>
        <w:gridCol w:w="154"/>
      </w:tblGrid>
      <w:tr>
        <w:trPr/>
        <w:tc>
          <w:tcPr>
            <w:tcW w:w="1095"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 in Plan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 assets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Actual return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Employer contribution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Plan assets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implementation of the new Labor Codes in India resulted in the recognition of prior service cost in OCI. During March 2026, following the implementation of a revised salary structure, the Company performed an updated actuarial valuation and recognized additional prior service cost of $1,177 in OCI. The prior service cost recognized is being amortized over the estimated remaining service period of the defined benefit obligation.</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Components of net periodic benefit costs recognized in unaudited consolidated statements of income and retirement benefits reclassified from AOCI, were as follows:</w:t>
      </w:r>
    </w:p>
    <w:tbl>
      <w:tblPr>
        <w:tblW w:w="10097" w:type="dxa"/>
        <w:jc w:val="left"/>
        <w:tblInd w:w="0" w:type="dxa"/>
        <w:tblLayout w:type="fixed"/>
        <w:tblCellMar>
          <w:top w:w="28" w:type="dxa"/>
          <w:left w:w="28" w:type="dxa"/>
          <w:bottom w:w="28" w:type="dxa"/>
          <w:right w:w="28" w:type="dxa"/>
        </w:tblCellMar>
      </w:tblPr>
      <w:tblGrid>
        <w:gridCol w:w="1860"/>
        <w:gridCol w:w="1635"/>
        <w:gridCol w:w="1649"/>
        <w:gridCol w:w="228"/>
        <w:gridCol w:w="668"/>
        <w:gridCol w:w="118"/>
        <w:gridCol w:w="118"/>
        <w:gridCol w:w="118"/>
        <w:gridCol w:w="118"/>
        <w:gridCol w:w="228"/>
        <w:gridCol w:w="668"/>
        <w:gridCol w:w="118"/>
        <w:gridCol w:w="109"/>
        <w:gridCol w:w="109"/>
        <w:gridCol w:w="109"/>
        <w:gridCol w:w="211"/>
        <w:gridCol w:w="616"/>
        <w:gridCol w:w="109"/>
        <w:gridCol w:w="109"/>
        <w:gridCol w:w="109"/>
        <w:gridCol w:w="109"/>
        <w:gridCol w:w="211"/>
        <w:gridCol w:w="616"/>
        <w:gridCol w:w="154"/>
      </w:tblGrid>
      <w:tr>
        <w:trPr/>
        <w:tc>
          <w:tcPr>
            <w:tcW w:w="1860"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retirement benefits from AOCI:</w:t>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actuarial gain</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retirement benefits from AOCI, gross of tax</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retirement benefits from AOCI, net of tax</w:t>
            </w:r>
          </w:p>
        </w:tc>
        <w:tc>
          <w:tcPr>
            <w:tcW w:w="22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1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1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maintains several 401(k) plans (the “401(k) Plans”) under Section 401(k) of the Internal Revenue Code of 1986, as amended (the “Code”), covering all eligible employees, as defined in the Code as a defined contribution plan. The Company may make discretionary contributions of up to a maximum of 3.0% of employee compensation within certain limits.</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contributions to various defined contribution plans were as follows:</w:t>
      </w:r>
    </w:p>
    <w:tbl>
      <w:tblPr>
        <w:tblW w:w="10205" w:type="dxa"/>
        <w:jc w:val="left"/>
        <w:tblInd w:w="0" w:type="dxa"/>
        <w:tblLayout w:type="fixed"/>
        <w:tblCellMar>
          <w:top w:w="28" w:type="dxa"/>
          <w:left w:w="28" w:type="dxa"/>
          <w:bottom w:w="28" w:type="dxa"/>
          <w:right w:w="28" w:type="dxa"/>
        </w:tblCellMar>
      </w:tblPr>
      <w:tblGrid>
        <w:gridCol w:w="1868"/>
        <w:gridCol w:w="1614"/>
        <w:gridCol w:w="1623"/>
        <w:gridCol w:w="222"/>
        <w:gridCol w:w="649"/>
        <w:gridCol w:w="114"/>
        <w:gridCol w:w="114"/>
        <w:gridCol w:w="114"/>
        <w:gridCol w:w="114"/>
        <w:gridCol w:w="222"/>
        <w:gridCol w:w="649"/>
        <w:gridCol w:w="114"/>
        <w:gridCol w:w="109"/>
        <w:gridCol w:w="109"/>
        <w:gridCol w:w="109"/>
        <w:gridCol w:w="211"/>
        <w:gridCol w:w="721"/>
        <w:gridCol w:w="109"/>
        <w:gridCol w:w="109"/>
        <w:gridCol w:w="109"/>
        <w:gridCol w:w="109"/>
        <w:gridCol w:w="211"/>
        <w:gridCol w:w="721"/>
        <w:gridCol w:w="161"/>
      </w:tblGrid>
      <w:tr>
        <w:trPr/>
        <w:tc>
          <w:tcPr>
            <w:tcW w:w="1868"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to the 401(k) Plans</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Contributions to the defined contribution plans in foreign subsidiaries of the Company</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21. Leases</w:t>
      </w:r>
    </w:p>
    <w:p>
      <w:pPr>
        <w:pStyle w:val="TextBody"/>
        <w:bidi w:val="0"/>
        <w:spacing w:before="0" w:after="0"/>
        <w:jc w:val="left"/>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conducts its operations using facilities leased under operating lease agreements that expire at various dates, with options to extend or terminate before expiration date. The Company finances its use of certain motor vehicles, leasehold improvements and other equipment under various lease arrangements provided by financial institutions. The lease agreements do not contain any covenants to impose any restrictions except for market-standard practice for similar lease arrangements.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pPr>
      <w:r>
        <w:rPr>
          <w:rFonts w:ascii="Times New Roman;serif" w:hAnsi="Times New Roman;serif"/>
          <w:b w:val="false"/>
          <w:color w:val="000000"/>
          <w:sz w:val="20"/>
        </w:rPr>
        <w:t xml:space="preserve">The Company had performed an evaluation of its contracts with suppliers in accordance with ASC Topic 842, </w:t>
      </w:r>
      <w:r>
        <w:rPr>
          <w:rFonts w:ascii="Times New Roman;serif" w:hAnsi="Times New Roman;serif"/>
          <w:b w:val="false"/>
          <w:i/>
          <w:color w:val="000000"/>
          <w:sz w:val="20"/>
        </w:rPr>
        <w:t>Leases</w:t>
      </w:r>
      <w:r>
        <w:rPr>
          <w:rFonts w:ascii="Times New Roman;serif" w:hAnsi="Times New Roman;serif"/>
          <w:b w:val="false"/>
          <w:color w:val="000000"/>
          <w:sz w:val="20"/>
        </w:rPr>
        <w:t>, and had determined that, except for leases for office facilities, motor vehicles and other equipment as described above, none of the Company’s contracts contain a lease.</w:t>
      </w:r>
    </w:p>
    <w:p>
      <w:pPr>
        <w:pStyle w:val="TextBody"/>
        <w:bidi w:val="0"/>
        <w:spacing w:before="0" w:after="0"/>
        <w:ind w:left="0" w:right="0" w:firstLine="540"/>
        <w:jc w:val="left"/>
        <w:rPr/>
      </w:pPr>
      <w:r>
        <w:rPr/>
      </w:r>
    </w:p>
    <w:p>
      <w:pPr>
        <w:pStyle w:val="TextBody"/>
        <w:bidi w:val="0"/>
        <w:spacing w:before="0" w:after="0"/>
        <w:ind w:left="0" w:right="0" w:firstLine="540"/>
        <w:jc w:val="left"/>
        <w:rPr/>
      </w:pPr>
      <w:r>
        <w:rPr/>
      </w:r>
    </w:p>
    <w:p>
      <w:pPr>
        <w:pStyle w:val="TextBody"/>
        <w:bidi w:val="0"/>
        <w:spacing w:before="0" w:after="0"/>
        <w:ind w:left="0" w:right="0" w:firstLine="540"/>
        <w:jc w:val="left"/>
        <w:rPr/>
      </w:pPr>
      <w:r>
        <w:rPr/>
      </w:r>
    </w:p>
    <w:p>
      <w:pPr>
        <w:pStyle w:val="TextBody"/>
        <w:bidi w:val="0"/>
        <w:spacing w:before="0" w:after="0"/>
        <w:ind w:left="0" w:right="0" w:firstLine="540"/>
        <w:jc w:val="left"/>
        <w:rPr/>
      </w:pPr>
      <w:r>
        <w:rPr/>
      </w:r>
    </w:p>
    <w:p>
      <w:pPr>
        <w:pStyle w:val="TextBody"/>
        <w:bidi w:val="0"/>
        <w:spacing w:before="0" w:after="0"/>
        <w:ind w:left="0" w:right="0" w:firstLine="540"/>
        <w:jc w:val="left"/>
        <w:rPr/>
      </w:pPr>
      <w:r>
        <w:rPr/>
      </w:r>
    </w:p>
    <w:p>
      <w:pPr>
        <w:pStyle w:val="TextBody"/>
        <w:bidi w:val="0"/>
        <w:spacing w:before="0" w:after="0"/>
        <w:ind w:left="0" w:right="0" w:firstLine="540"/>
        <w:jc w:val="left"/>
        <w:rPr/>
      </w:pPr>
      <w:r>
        <w:rPr/>
      </w:r>
    </w:p>
    <w:p>
      <w:pPr>
        <w:pStyle w:val="TextBody"/>
        <w:bidi w:val="0"/>
        <w:spacing w:before="0" w:after="0"/>
        <w:ind w:left="0" w:right="0" w:firstLine="540"/>
        <w:jc w:val="left"/>
        <w:rPr/>
      </w:pPr>
      <w:r>
        <w:rPr/>
      </w:r>
    </w:p>
    <w:p>
      <w:pPr>
        <w:pStyle w:val="TextBody"/>
        <w:bidi w:val="0"/>
        <w:spacing w:before="0" w:after="0"/>
        <w:ind w:left="0" w:right="0" w:firstLine="540"/>
        <w:jc w:val="left"/>
        <w:rPr/>
      </w:pPr>
      <w:r>
        <w:rPr/>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before="0" w:after="0"/>
        <w:ind w:left="0" w:right="0" w:firstLine="540"/>
        <w:jc w:val="left"/>
        <w:rPr/>
      </w:pPr>
      <w:r>
        <w:rPr/>
      </w:r>
    </w:p>
    <w:p>
      <w:pPr>
        <w:pStyle w:val="TextBody"/>
        <w:bidi w:val="0"/>
        <w:spacing w:before="0" w:after="0"/>
        <w:ind w:left="0" w:right="0" w:firstLine="540"/>
        <w:jc w:val="left"/>
        <w:rPr/>
      </w:pPr>
      <w:r>
        <w:rPr/>
      </w:r>
    </w:p>
    <w:p>
      <w:pPr>
        <w:pStyle w:val="TextBody"/>
        <w:bidi w:val="0"/>
        <w:spacing w:before="0" w:after="0"/>
        <w:ind w:left="0" w:right="0" w:firstLine="54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components of lease cost, which are included in the Company’s unaudited consolidated statements of income, are as follows:</w:t>
      </w:r>
    </w:p>
    <w:p>
      <w:pPr>
        <w:pStyle w:val="TextBody"/>
        <w:bidi w:val="0"/>
        <w:spacing w:before="0" w:after="0"/>
        <w:ind w:left="0" w:right="0" w:firstLine="450"/>
        <w:jc w:val="left"/>
        <w:rPr/>
      </w:pPr>
      <w:r>
        <w:rPr/>
      </w:r>
    </w:p>
    <w:tbl>
      <w:tblPr>
        <w:tblW w:w="8402" w:type="dxa"/>
        <w:jc w:val="left"/>
        <w:tblInd w:w="0" w:type="dxa"/>
        <w:tblLayout w:type="fixed"/>
        <w:tblCellMar>
          <w:top w:w="28" w:type="dxa"/>
          <w:left w:w="28" w:type="dxa"/>
          <w:bottom w:w="28" w:type="dxa"/>
          <w:right w:w="28" w:type="dxa"/>
        </w:tblCellMar>
      </w:tblPr>
      <w:tblGrid>
        <w:gridCol w:w="1204"/>
        <w:gridCol w:w="1060"/>
        <w:gridCol w:w="1065"/>
        <w:gridCol w:w="228"/>
        <w:gridCol w:w="668"/>
        <w:gridCol w:w="118"/>
        <w:gridCol w:w="118"/>
        <w:gridCol w:w="118"/>
        <w:gridCol w:w="118"/>
        <w:gridCol w:w="228"/>
        <w:gridCol w:w="668"/>
        <w:gridCol w:w="118"/>
        <w:gridCol w:w="109"/>
        <w:gridCol w:w="109"/>
        <w:gridCol w:w="109"/>
        <w:gridCol w:w="211"/>
        <w:gridCol w:w="721"/>
        <w:gridCol w:w="109"/>
        <w:gridCol w:w="109"/>
        <w:gridCol w:w="109"/>
        <w:gridCol w:w="109"/>
        <w:gridCol w:w="196"/>
        <w:gridCol w:w="646"/>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Finance lease:</w:t>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on underlying ROU assets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on lease liabilities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228 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Operating lease</w:t>
            </w:r>
            <w:r>
              <w:rPr>
                <w:rFonts w:ascii="Times New Roman;serif" w:hAnsi="Times New Roman;serif"/>
                <w:b w:val="false"/>
                <w:color w:val="000000"/>
                <w:sz w:val="12"/>
              </w:rPr>
              <w:t>(1)</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6,528 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Variable lease costs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1,274 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Sublease income</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lease cost</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8,727 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7,853 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17,095 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ind w:left="0" w:right="0" w:firstLine="450"/>
        <w:jc w:val="both"/>
        <w:rPr/>
      </w:pPr>
      <w:r>
        <w:rPr/>
      </w:r>
    </w:p>
    <w:p>
      <w:pPr>
        <w:pStyle w:val="TextBody"/>
        <w:bidi w:val="0"/>
        <w:spacing w:lineRule="auto" w:line="288" w:before="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(1) Includes short-term leases, which are immaterial.</w:t>
      </w:r>
    </w:p>
    <w:p>
      <w:pPr>
        <w:pStyle w:val="TextBody"/>
        <w:bidi w:val="0"/>
        <w:spacing w:before="20" w:after="283"/>
        <w:jc w:val="both"/>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Supplemental cash flow and other information related to leases are as follows:</w:t>
      </w:r>
    </w:p>
    <w:tbl>
      <w:tblPr>
        <w:tblW w:w="7821" w:type="dxa"/>
        <w:jc w:val="left"/>
        <w:tblInd w:w="0" w:type="dxa"/>
        <w:tblLayout w:type="fixed"/>
        <w:tblCellMar>
          <w:top w:w="28" w:type="dxa"/>
          <w:left w:w="28" w:type="dxa"/>
          <w:bottom w:w="28" w:type="dxa"/>
          <w:right w:w="28" w:type="dxa"/>
        </w:tblCellMar>
      </w:tblPr>
      <w:tblGrid>
        <w:gridCol w:w="1979"/>
        <w:gridCol w:w="1735"/>
        <w:gridCol w:w="1745"/>
        <w:gridCol w:w="291"/>
        <w:gridCol w:w="179"/>
        <w:gridCol w:w="422"/>
        <w:gridCol w:w="162"/>
        <w:gridCol w:w="162"/>
        <w:gridCol w:w="162"/>
        <w:gridCol w:w="291"/>
        <w:gridCol w:w="218"/>
        <w:gridCol w:w="475"/>
      </w:tblGrid>
      <w:tr>
        <w:trPr/>
        <w:tc>
          <w:tcPr>
            <w:tcW w:w="1979"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payments for amounts included in the measurement of lease liabilities:</w:t>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outflows for operating leases</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12,042</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12,250</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outflows for finance leases</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cash outflows for finance leases</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ROU assets obtained in exchange for new operating lease liabilities</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12,202</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12,332</w:t>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ROU assets obtained in exchange for new finance lease liabilities</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remaining lease term (in years)</w:t>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years</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years</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years</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years</w:t>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discount rate</w:t>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w:t>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w:t>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part of the Company’s efforts to optimize its existing network of operations centers, the Company continued to evaluate its office facilities to determine where it can exit or consolidate its use of office space. The Company modified certain of its operating leases, resulting in an increase in lease liabilities by $2,623 and $3,107, during the six months ended June 30, 2026 and 2025, respectively, with a corresponding adjustment to ROU assets.</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did not have any significant leases that have not yet commenced but that create significant rights and obligations for the Company.</w:t>
      </w:r>
    </w:p>
    <w:p>
      <w:pPr>
        <w:pStyle w:val="TextBody"/>
        <w:bidi w:val="0"/>
        <w:spacing w:before="120" w:after="283"/>
        <w:ind w:left="0" w:right="0" w:hanging="450"/>
        <w:jc w:val="both"/>
        <w:rPr/>
      </w:pPr>
      <w:r>
        <w:rPr/>
      </w:r>
    </w:p>
    <w:p>
      <w:pPr>
        <w:pStyle w:val="TextBody"/>
        <w:bidi w:val="0"/>
        <w:spacing w:before="120" w:after="283"/>
        <w:ind w:left="0" w:right="0" w:hanging="450"/>
        <w:jc w:val="both"/>
        <w:rPr/>
      </w:pPr>
      <w:r>
        <w:rPr/>
      </w:r>
    </w:p>
    <w:p>
      <w:pPr>
        <w:pStyle w:val="TextBody"/>
        <w:bidi w:val="0"/>
        <w:spacing w:before="120" w:after="283"/>
        <w:ind w:left="0" w:right="0" w:hanging="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before="120" w:after="283"/>
        <w:ind w:left="0" w:right="0" w:hanging="450"/>
        <w:jc w:val="both"/>
        <w:rPr/>
      </w:pPr>
      <w:r>
        <w:rPr/>
      </w:r>
    </w:p>
    <w:p>
      <w:pPr>
        <w:pStyle w:val="TextBody"/>
        <w:bidi w:val="0"/>
        <w:spacing w:before="120" w:after="283"/>
        <w:ind w:left="0" w:right="0" w:hanging="450"/>
        <w:jc w:val="both"/>
        <w:rPr/>
      </w:pPr>
      <w:r>
        <w:rPr/>
      </w:r>
    </w:p>
    <w:p>
      <w:pPr>
        <w:pStyle w:val="TextBody"/>
        <w:bidi w:val="0"/>
        <w:spacing w:before="120" w:after="283"/>
        <w:ind w:left="0" w:right="0" w:hanging="450"/>
        <w:jc w:val="both"/>
        <w:rPr/>
      </w:pPr>
      <w:r>
        <w:rPr/>
      </w:r>
    </w:p>
    <w:p>
      <w:pPr>
        <w:pStyle w:val="TextBody"/>
        <w:bidi w:val="0"/>
        <w:spacing w:lineRule="auto" w:line="268" w:before="120" w:after="283"/>
        <w:ind w:left="0" w:right="0" w:hanging="450"/>
        <w:jc w:val="left"/>
        <w:rPr>
          <w:rFonts w:ascii="Times New Roman;serif" w:hAnsi="Times New Roman;serif"/>
          <w:b/>
          <w:color w:val="000000"/>
          <w:sz w:val="20"/>
        </w:rPr>
      </w:pPr>
      <w:r>
        <w:rPr>
          <w:rFonts w:ascii="Times New Roman;serif" w:hAnsi="Times New Roman;serif"/>
          <w:b/>
          <w:color w:val="000000"/>
          <w:sz w:val="20"/>
        </w:rPr>
        <w:t>Maturities of lease liabilities as of June 30, 2026 were as follows:</w:t>
      </w:r>
    </w:p>
    <w:p>
      <w:pPr>
        <w:pStyle w:val="TextBody"/>
        <w:bidi w:val="0"/>
        <w:spacing w:before="120" w:after="283"/>
        <w:ind w:left="0" w:right="0" w:hanging="450"/>
        <w:jc w:val="left"/>
        <w:rPr/>
      </w:pPr>
      <w:r>
        <w:rPr/>
      </w:r>
    </w:p>
    <w:tbl>
      <w:tblPr>
        <w:tblW w:w="5394" w:type="dxa"/>
        <w:jc w:val="left"/>
        <w:tblInd w:w="0" w:type="dxa"/>
        <w:tblLayout w:type="fixed"/>
        <w:tblCellMar>
          <w:top w:w="28" w:type="dxa"/>
          <w:left w:w="28" w:type="dxa"/>
          <w:bottom w:w="28" w:type="dxa"/>
          <w:right w:w="28" w:type="dxa"/>
        </w:tblCellMar>
      </w:tblPr>
      <w:tblGrid>
        <w:gridCol w:w="840"/>
        <w:gridCol w:w="740"/>
        <w:gridCol w:w="744"/>
        <w:gridCol w:w="271"/>
        <w:gridCol w:w="1018"/>
        <w:gridCol w:w="150"/>
        <w:gridCol w:w="109"/>
        <w:gridCol w:w="109"/>
        <w:gridCol w:w="109"/>
        <w:gridCol w:w="282"/>
        <w:gridCol w:w="801"/>
        <w:gridCol w:w="221"/>
      </w:tblGrid>
      <w:tr>
        <w:trPr/>
        <w:tc>
          <w:tcPr>
            <w:tcW w:w="8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Finance Leases</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 (July 1 - December 31)</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13,112 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26,421 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23,919 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2031 and thereafter</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44,411 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payments</w:t>
            </w:r>
          </w:p>
        </w:tc>
        <w:tc>
          <w:tcPr>
            <w:tcW w:w="12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135,104 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2,729 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28,240 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Present value of lease liabilities</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106,864 </w:t>
            </w:r>
          </w:p>
        </w:tc>
        <w:tc>
          <w:tcPr>
            <w:tcW w:w="1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2,147 </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22. Income Taxes</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determines the tax provision for interim periods using an estimate of its annual effective tax rate. Each quarter, the Company updates its estimate of annual effective tax rate, and if its estimated tax rate changes, the Company makes a cumulative adjustment.</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three months ended June 30, 2026 was 23.1%, an increase from 21.9% for the three months ended June 30, 2025. The Company recorded income tax expense of $19,426 and $18,546 for the three months ended June 30, 2026 and 2025, respectively. The increase in income tax expense for the three months ended June 30, 2026 was primarily a result of an increase in non-deductible expenses and lower excess tax benefits related to stock-based compensation, as compared to the three months ended June 30, 2025.</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six months ended June 30, 2026 was 24.9%, an increase from 19.5% for the six months ended June 30, 2025. The Company recorded income tax expense of $43,744 and $32,042 for the six months ended June 30, 2026 and 2025, respectively. The increase in income tax expense for the six months ended June 30, 2026 was primarily a result of higher profit and lower excess tax benefits related to stock-based compensation, partially offset by a decrease in non-deductible compensation expenses, as compared to the six months ended June 30, 2025.</w:t>
      </w:r>
    </w:p>
    <w:p>
      <w:pPr>
        <w:pStyle w:val="TextBody"/>
        <w:bidi w:val="0"/>
        <w:spacing w:before="0" w:after="0"/>
        <w:ind w:left="0" w:right="0" w:firstLine="450"/>
        <w:jc w:val="both"/>
        <w:rPr/>
      </w:pPr>
      <w:r>
        <w:rPr/>
      </w:r>
    </w:p>
    <w:p>
      <w:pPr>
        <w:pStyle w:val="TextBody"/>
        <w:bidi w:val="0"/>
        <w:spacing w:lineRule="auto" w:line="244"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Deferred income taxes recognized in OCI were as follows:</w:t>
      </w:r>
    </w:p>
    <w:tbl>
      <w:tblPr>
        <w:tblW w:w="9227" w:type="dxa"/>
        <w:jc w:val="left"/>
        <w:tblInd w:w="0" w:type="dxa"/>
        <w:tblLayout w:type="fixed"/>
        <w:tblCellMar>
          <w:top w:w="28" w:type="dxa"/>
          <w:left w:w="28" w:type="dxa"/>
          <w:bottom w:w="28" w:type="dxa"/>
          <w:right w:w="28" w:type="dxa"/>
        </w:tblCellMar>
      </w:tblPr>
      <w:tblGrid>
        <w:gridCol w:w="1519"/>
        <w:gridCol w:w="1336"/>
        <w:gridCol w:w="1344"/>
        <w:gridCol w:w="228"/>
        <w:gridCol w:w="749"/>
        <w:gridCol w:w="118"/>
        <w:gridCol w:w="118"/>
        <w:gridCol w:w="118"/>
        <w:gridCol w:w="118"/>
        <w:gridCol w:w="228"/>
        <w:gridCol w:w="587"/>
        <w:gridCol w:w="118"/>
        <w:gridCol w:w="109"/>
        <w:gridCol w:w="109"/>
        <w:gridCol w:w="109"/>
        <w:gridCol w:w="211"/>
        <w:gridCol w:w="616"/>
        <w:gridCol w:w="109"/>
        <w:gridCol w:w="109"/>
        <w:gridCol w:w="109"/>
        <w:gridCol w:w="109"/>
        <w:gridCol w:w="211"/>
        <w:gridCol w:w="691"/>
        <w:gridCol w:w="154"/>
      </w:tblGrid>
      <w:tr>
        <w:trPr/>
        <w:tc>
          <w:tcPr>
            <w:tcW w:w="151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 benefit / (expense) recognized on:</w:t>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gain/(loss) on cash flow hedges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cash flow hedges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benefits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retirement benefits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(4,121)</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(3,885)</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4605" cy="14605"/>
                <wp:effectExtent l="0" t="0" r="0" b="0"/>
                <wp:wrapNone/>
                <wp:docPr id="33" name="Frame33"/>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23. Stock-Based Compensation</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by function, as below, are included in the unaudited consolidated statements of income:</w:t>
      </w:r>
    </w:p>
    <w:p>
      <w:pPr>
        <w:pStyle w:val="TextBody"/>
        <w:bidi w:val="0"/>
        <w:spacing w:before="0" w:after="0"/>
        <w:ind w:left="0" w:right="0" w:firstLine="450"/>
        <w:jc w:val="both"/>
        <w:rPr/>
      </w:pPr>
      <w:r>
        <w:rPr/>
      </w:r>
    </w:p>
    <w:tbl>
      <w:tblPr>
        <w:tblW w:w="10005" w:type="dxa"/>
        <w:jc w:val="left"/>
        <w:tblInd w:w="0" w:type="dxa"/>
        <w:tblLayout w:type="fixed"/>
        <w:tblCellMar>
          <w:top w:w="28" w:type="dxa"/>
          <w:left w:w="28" w:type="dxa"/>
          <w:bottom w:w="28" w:type="dxa"/>
          <w:right w:w="28" w:type="dxa"/>
        </w:tblCellMar>
      </w:tblPr>
      <w:tblGrid>
        <w:gridCol w:w="1741"/>
        <w:gridCol w:w="1534"/>
        <w:gridCol w:w="154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741"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 benefit related to share-based compensation</w:t>
            </w:r>
            <w:r>
              <w:rPr>
                <w:rFonts w:ascii="Times New Roman;serif" w:hAnsi="Times New Roman;serif"/>
                <w:b w:val="false"/>
                <w:color w:val="000000"/>
                <w:sz w:val="13"/>
              </w:rPr>
              <w:t xml:space="preserve">(1) </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13,316 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450"/>
        <w:jc w:val="both"/>
        <w:rPr/>
      </w:pPr>
      <w:r>
        <w:rPr/>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(1) Includes $(17) and $203 during the three months ended June 30, 2026 and 2025, respectively, and $1,263 and $14,728 during the six months ended June 30, 2026 and 2025, respectively, related to discrete benefits recognized in income tax expense in accordance with ASU No. 2016-09, Compensation - Stock Compensation.</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had 3,301,245 and 5,919,466 shares, respectively, available for future grants under the 2025 Omnibus Incentive Plan (the “2025 Plan”).</w:t>
      </w:r>
    </w:p>
    <w:p>
      <w:pPr>
        <w:pStyle w:val="TextBody"/>
        <w:bidi w:val="0"/>
        <w:spacing w:before="0" w:after="0"/>
        <w:ind w:left="0" w:right="0" w:firstLine="495"/>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Stock Options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Stock option activity under the Company’s stock-based compensation plans is shown below:</w:t>
      </w:r>
    </w:p>
    <w:p>
      <w:pPr>
        <w:pStyle w:val="TextBody"/>
        <w:bidi w:val="0"/>
        <w:spacing w:before="0" w:after="0"/>
        <w:ind w:left="0" w:right="0" w:firstLine="450"/>
        <w:jc w:val="left"/>
        <w:rPr/>
      </w:pPr>
      <w:r>
        <w:rPr/>
      </w:r>
    </w:p>
    <w:tbl>
      <w:tblPr>
        <w:tblW w:w="10205" w:type="dxa"/>
        <w:jc w:val="left"/>
        <w:tblInd w:w="0" w:type="dxa"/>
        <w:tblLayout w:type="fixed"/>
        <w:tblCellMar>
          <w:top w:w="28" w:type="dxa"/>
          <w:left w:w="28" w:type="dxa"/>
          <w:bottom w:w="28" w:type="dxa"/>
          <w:right w:w="28" w:type="dxa"/>
        </w:tblCellMar>
      </w:tblPr>
      <w:tblGrid>
        <w:gridCol w:w="1198"/>
        <w:gridCol w:w="1050"/>
        <w:gridCol w:w="1057"/>
        <w:gridCol w:w="436"/>
        <w:gridCol w:w="641"/>
        <w:gridCol w:w="148"/>
        <w:gridCol w:w="109"/>
        <w:gridCol w:w="109"/>
        <w:gridCol w:w="109"/>
        <w:gridCol w:w="332"/>
        <w:gridCol w:w="971"/>
        <w:gridCol w:w="171"/>
        <w:gridCol w:w="109"/>
        <w:gridCol w:w="109"/>
        <w:gridCol w:w="109"/>
        <w:gridCol w:w="275"/>
        <w:gridCol w:w="942"/>
        <w:gridCol w:w="142"/>
        <w:gridCol w:w="109"/>
        <w:gridCol w:w="109"/>
        <w:gridCol w:w="109"/>
        <w:gridCol w:w="542"/>
        <w:gridCol w:w="542"/>
        <w:gridCol w:w="777"/>
      </w:tblGrid>
      <w:tr>
        <w:trPr/>
        <w:tc>
          <w:tcPr>
            <w:tcW w:w="119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3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Aggregate Intrinsic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5"/>
              </w:rPr>
            </w:pPr>
            <w:r>
              <w:rPr>
                <w:rFonts w:ascii="Times New Roman;serif" w:hAnsi="Times New Roman;serif"/>
                <w:b/>
                <w:color w:val="000000"/>
                <w:sz w:val="15"/>
              </w:rPr>
              <w:t>Weighted Average Remaining Contractual Life (Years)</w:t>
            </w:r>
          </w:p>
        </w:tc>
      </w:tr>
      <w:tr>
        <w:trPr/>
        <w:tc>
          <w:tcPr>
            <w:tcW w:w="3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10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1,734,720 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30.14 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21,344 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r>
      <w:tr>
        <w:trPr/>
        <w:tc>
          <w:tcPr>
            <w:tcW w:w="3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7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w:t>
            </w:r>
          </w:p>
        </w:tc>
        <w:tc>
          <w:tcPr>
            <w:tcW w:w="10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1,734,720 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30.14 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r>
      <w:tr>
        <w:trPr/>
        <w:tc>
          <w:tcPr>
            <w:tcW w:w="3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exercisable as of June 30, 2026</w:t>
            </w:r>
          </w:p>
        </w:tc>
        <w:tc>
          <w:tcPr>
            <w:tcW w:w="107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1,264,700 </w:t>
            </w:r>
          </w:p>
        </w:tc>
        <w:tc>
          <w:tcPr>
            <w:tcW w:w="14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30.14 </w:t>
            </w:r>
          </w:p>
        </w:tc>
        <w:tc>
          <w:tcPr>
            <w:tcW w:w="1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4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r>
      <w:tr>
        <w:trPr/>
        <w:tc>
          <w:tcPr>
            <w:tcW w:w="330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grant date fair value of per unit of stock option granted during the period</w:t>
            </w:r>
          </w:p>
        </w:tc>
        <w:tc>
          <w:tcPr>
            <w:tcW w:w="43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unrecognized compensation cost of $5,141 is expected to be expensed over a weighted average period of 1.0 years.</w:t>
      </w:r>
    </w:p>
    <w:p>
      <w:pPr>
        <w:pStyle w:val="TextBody"/>
        <w:bidi w:val="0"/>
        <w:spacing w:lineRule="auto" w:line="288" w:before="140" w:after="283"/>
        <w:jc w:val="both"/>
        <w:rPr>
          <w:rFonts w:ascii="Times New Roman;serif" w:hAnsi="Times New Roman;serif"/>
          <w:b/>
          <w:color w:val="000000"/>
          <w:sz w:val="20"/>
        </w:rPr>
      </w:pPr>
      <w:r>
        <w:rPr>
          <w:rFonts w:ascii="Times New Roman;serif" w:hAnsi="Times New Roman;serif"/>
          <w:b/>
          <w:color w:val="000000"/>
          <w:sz w:val="20"/>
        </w:rPr>
        <w:t>Share Matching Program</w:t>
      </w:r>
    </w:p>
    <w:p>
      <w:pPr>
        <w:pStyle w:val="TextBody"/>
        <w:bidi w:val="0"/>
        <w:spacing w:lineRule="auto" w:line="268" w:before="1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Under the Company’s 2018 Omnibus Incentive Plan (the “2018 Plan”), the Company established a share matching program (“SMP”) for executive officers and other specified employees. Under the SMP, the Company agreed to issue a number of restricted stock units equal to the number of newly acquired shares of the Company's common stock.</w:t>
      </w:r>
    </w:p>
    <w:p>
      <w:pPr>
        <w:pStyle w:val="TextBody"/>
        <w:bidi w:val="0"/>
        <w:spacing w:lineRule="auto" w:line="268" w:before="1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restricted stock units vested for which the underlying common stock is yet to be issued are nil and 31,662,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before="140" w:after="283"/>
        <w:ind w:left="0" w:right="0" w:firstLine="450"/>
        <w:jc w:val="both"/>
        <w:rPr/>
      </w:pPr>
      <w:r>
        <w:rPr/>
      </w:r>
    </w:p>
    <w:p>
      <w:pPr>
        <w:pStyle w:val="TextBody"/>
        <w:bidi w:val="0"/>
        <w:spacing w:before="140" w:after="283"/>
        <w:ind w:left="0" w:right="0" w:firstLine="450"/>
        <w:jc w:val="both"/>
        <w:rPr/>
      </w:pPr>
      <w:r>
        <w:rPr/>
      </w:r>
    </w:p>
    <w:p>
      <w:pPr>
        <w:pStyle w:val="TextBody"/>
        <w:bidi w:val="0"/>
        <w:spacing w:before="140" w:after="283"/>
        <w:ind w:left="0" w:right="0" w:firstLine="450"/>
        <w:jc w:val="both"/>
        <w:rPr/>
      </w:pPr>
      <w:r>
        <w:rPr/>
      </w:r>
    </w:p>
    <w:p>
      <w:pPr>
        <w:pStyle w:val="TextBody"/>
        <w:bidi w:val="0"/>
        <w:spacing w:before="140" w:after="283"/>
        <w:ind w:left="0" w:right="0" w:firstLine="450"/>
        <w:jc w:val="both"/>
        <w:rPr/>
      </w:pPr>
      <w:r>
        <w:rPr/>
      </w:r>
    </w:p>
    <w:p>
      <w:pPr>
        <w:pStyle w:val="TextBody"/>
        <w:bidi w:val="0"/>
        <w:spacing w:lineRule="auto" w:line="268" w:before="240" w:after="283"/>
        <w:jc w:val="both"/>
        <w:rPr>
          <w:rFonts w:ascii="Times New Roman;serif" w:hAnsi="Times New Roman;serif"/>
          <w:b/>
          <w:color w:val="000000"/>
          <w:sz w:val="20"/>
        </w:rPr>
      </w:pPr>
      <w:r>
        <w:rPr>
          <w:rFonts w:ascii="Times New Roman;serif" w:hAnsi="Times New Roman;serif"/>
          <w:b/>
          <w:color w:val="000000"/>
          <w:sz w:val="20"/>
        </w:rPr>
        <w:t>Restricted Stock Units</w:t>
      </w:r>
    </w:p>
    <w:p>
      <w:pPr>
        <w:pStyle w:val="TextBody"/>
        <w:bidi w:val="0"/>
        <w:spacing w:lineRule="auto" w:line="288" w:before="1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Restricted stock unit activity under the Company’s stock-based compensation plans is shown below:</w:t>
      </w:r>
    </w:p>
    <w:tbl>
      <w:tblPr>
        <w:tblW w:w="6461" w:type="dxa"/>
        <w:jc w:val="left"/>
        <w:tblInd w:w="0" w:type="dxa"/>
        <w:tblLayout w:type="fixed"/>
        <w:tblCellMar>
          <w:top w:w="28" w:type="dxa"/>
          <w:left w:w="28" w:type="dxa"/>
          <w:bottom w:w="28" w:type="dxa"/>
          <w:right w:w="28" w:type="dxa"/>
        </w:tblCellMar>
      </w:tblPr>
      <w:tblGrid>
        <w:gridCol w:w="1206"/>
        <w:gridCol w:w="1059"/>
        <w:gridCol w:w="1064"/>
        <w:gridCol w:w="524"/>
        <w:gridCol w:w="526"/>
        <w:gridCol w:w="231"/>
        <w:gridCol w:w="117"/>
        <w:gridCol w:w="117"/>
        <w:gridCol w:w="117"/>
        <w:gridCol w:w="322"/>
        <w:gridCol w:w="943"/>
        <w:gridCol w:w="235"/>
      </w:tblGrid>
      <w:tr>
        <w:trPr/>
        <w:tc>
          <w:tcPr>
            <w:tcW w:w="120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Restricted Stock Units</w:t>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Fair Value</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Outstanding as of December 31, 2025</w:t>
            </w:r>
            <w:r>
              <w:rPr>
                <w:rFonts w:ascii="Times New Roman;serif" w:hAnsi="Times New Roman;serif"/>
                <w:b w:val="false"/>
                <w:color w:val="000000"/>
                <w:sz w:val="13"/>
              </w:rPr>
              <w:t>(1)</w:t>
            </w:r>
          </w:p>
        </w:tc>
        <w:tc>
          <w:tcPr>
            <w:tcW w:w="1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2,789,601 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1,653,889 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Vested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(1,047,510)</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Forfeited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(116,947)</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Outstanding as of June 30, 2026</w:t>
            </w:r>
            <w:r>
              <w:rPr>
                <w:rFonts w:ascii="Times New Roman;serif" w:hAnsi="Times New Roman;serif"/>
                <w:b w:val="false"/>
                <w:color w:val="000000"/>
                <w:sz w:val="13"/>
              </w:rPr>
              <w:t>(1)</w:t>
            </w:r>
          </w:p>
        </w:tc>
        <w:tc>
          <w:tcPr>
            <w:tcW w:w="105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3,279,033 </w:t>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35.22 </w:t>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(1) As of June 30, 2026 and December 31, 2025 restricted stock units vested for which the underlying common stock is yet to be issued are 328,139 and 348,636, respectively.</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unrecognized compensation cost of $94,835 is expected to be expensed over a weighted average period of 2.8 years.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Performance-Based Stock Awards</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Company’s equity incentive plans, the Company grants performance-based restricted stock units (“PRSUs”) to executive officers and other specified employees. The Company generally grants 40% of each award recipient’s equity grants in the form of PRSUs that cliff vest at the end of a three-year period based on an aggregated revenue target for a three-year period (“PU”). The remaining 60% of each award recipient’s equity grants are PRSUs that are based on market conditions, contingent on the Company’s meeting a total shareholder return relative to a group of peer companies specified under PRSU agreements, and are measured over a three-year performance period (“MU”). </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PRSU activity under the Company’s stock plans is shown below:</w:t>
      </w:r>
    </w:p>
    <w:p>
      <w:pPr>
        <w:pStyle w:val="TextBody"/>
        <w:bidi w:val="0"/>
        <w:spacing w:before="0" w:after="0"/>
        <w:ind w:left="0" w:right="0" w:firstLine="450"/>
        <w:jc w:val="both"/>
        <w:rPr/>
      </w:pPr>
      <w:r>
        <w:rPr/>
      </w:r>
    </w:p>
    <w:tbl>
      <w:tblPr>
        <w:tblW w:w="9707" w:type="dxa"/>
        <w:jc w:val="left"/>
        <w:tblInd w:w="0" w:type="dxa"/>
        <w:tblLayout w:type="fixed"/>
        <w:tblCellMar>
          <w:top w:w="28" w:type="dxa"/>
          <w:left w:w="28" w:type="dxa"/>
          <w:bottom w:w="28" w:type="dxa"/>
          <w:right w:w="28" w:type="dxa"/>
        </w:tblCellMar>
      </w:tblPr>
      <w:tblGrid>
        <w:gridCol w:w="1147"/>
        <w:gridCol w:w="1006"/>
        <w:gridCol w:w="1012"/>
        <w:gridCol w:w="488"/>
        <w:gridCol w:w="488"/>
        <w:gridCol w:w="231"/>
        <w:gridCol w:w="118"/>
        <w:gridCol w:w="118"/>
        <w:gridCol w:w="118"/>
        <w:gridCol w:w="327"/>
        <w:gridCol w:w="955"/>
        <w:gridCol w:w="173"/>
        <w:gridCol w:w="109"/>
        <w:gridCol w:w="109"/>
        <w:gridCol w:w="109"/>
        <w:gridCol w:w="488"/>
        <w:gridCol w:w="488"/>
        <w:gridCol w:w="231"/>
        <w:gridCol w:w="164"/>
        <w:gridCol w:w="164"/>
        <w:gridCol w:w="164"/>
        <w:gridCol w:w="322"/>
        <w:gridCol w:w="942"/>
        <w:gridCol w:w="236"/>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 Based PRSUs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Condition Based PRSUs</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Fair Value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696,439 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841,966 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56.31 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409,256 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613,778 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(15,147)</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w:t>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1,090,548 </w:t>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36.12 </w:t>
            </w:r>
          </w:p>
        </w:tc>
        <w:tc>
          <w:tcPr>
            <w:tcW w:w="1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1,433,034 </w:t>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47.83 </w:t>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unrecognized compensation cost of $64,944 is expected to be expensed over a weighted average period of 1.9 years.</w:t>
      </w:r>
    </w:p>
    <w:p>
      <w:pPr>
        <w:pStyle w:val="TextBody"/>
        <w:bidi w:val="0"/>
        <w:spacing w:lineRule="auto" w:line="268" w:before="140" w:after="283"/>
        <w:jc w:val="both"/>
        <w:rPr>
          <w:rFonts w:ascii="Times New Roman;serif" w:hAnsi="Times New Roman;serif"/>
          <w:b/>
          <w:color w:val="000000"/>
          <w:sz w:val="20"/>
        </w:rPr>
      </w:pPr>
      <w:r>
        <w:rPr>
          <w:rFonts w:ascii="Times New Roman;serif" w:hAnsi="Times New Roman;serif"/>
          <w:b/>
          <w:color w:val="000000"/>
          <w:sz w:val="20"/>
        </w:rPr>
        <w:t>Employee Stock Purchase Plan</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June 21, 2022, at the annual meeting of stockholders of the Company, the Company’s stockholders approved the ExlService Holdings, Inc. 2022 Employee Stock Purchase Plan (the “2022 ESPP”).</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2022 ESPP allows eligible employees to purchase the Company’s shares of common stock through payroll deductions at a pre-specified discount to the lower of the closing price of the Company’s common shares on the date of offering or the last business day of each purchase interval. The dollar amount of shares of common stock that can be purchased under the 2022 ESPP must not exceed 15% of the participating employee’s compensation during the offering period, subject to a cap of $25 per employee per calendar year. The Company has reserved 4,000,000 shares of common stock for issuance under the 2022 ESPP.</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eighth offering period under the 2022 ESPP commenced on January 1, 2026 with a term of six months.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Activity under the Company’s 2022 ESPP is shown below:</w:t>
      </w:r>
    </w:p>
    <w:p>
      <w:pPr>
        <w:pStyle w:val="TextBody"/>
        <w:bidi w:val="0"/>
        <w:spacing w:before="0" w:after="0"/>
        <w:ind w:left="0" w:right="0" w:firstLine="450"/>
        <w:jc w:val="both"/>
        <w:rPr/>
      </w:pPr>
      <w:r>
        <w:rPr/>
      </w:r>
    </w:p>
    <w:tbl>
      <w:tblPr>
        <w:tblW w:w="10205" w:type="dxa"/>
        <w:jc w:val="left"/>
        <w:tblInd w:w="0" w:type="dxa"/>
        <w:tblLayout w:type="fixed"/>
        <w:tblCellMar>
          <w:top w:w="28" w:type="dxa"/>
          <w:left w:w="28" w:type="dxa"/>
          <w:bottom w:w="28" w:type="dxa"/>
          <w:right w:w="28" w:type="dxa"/>
        </w:tblCellMar>
      </w:tblPr>
      <w:tblGrid>
        <w:gridCol w:w="2414"/>
        <w:gridCol w:w="2103"/>
        <w:gridCol w:w="2116"/>
        <w:gridCol w:w="109"/>
        <w:gridCol w:w="109"/>
        <w:gridCol w:w="109"/>
        <w:gridCol w:w="309"/>
        <w:gridCol w:w="309"/>
        <w:gridCol w:w="313"/>
        <w:gridCol w:w="109"/>
        <w:gridCol w:w="109"/>
        <w:gridCol w:w="109"/>
        <w:gridCol w:w="426"/>
        <w:gridCol w:w="1247"/>
        <w:gridCol w:w="314"/>
      </w:tblGrid>
      <w:tr>
        <w:trPr/>
        <w:tc>
          <w:tcPr>
            <w:tcW w:w="2414"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6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Proceeds Received</w:t>
            </w:r>
          </w:p>
        </w:tc>
      </w:tr>
      <w:tr>
        <w:trPr/>
        <w:tc>
          <w:tcPr>
            <w:tcW w:w="6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issuance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3,510,269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7" w:type="dxa"/>
            <w:gridSpan w:val="3"/>
            <w:tcBorders/>
            <w:vAlign w:val="center"/>
          </w:tcPr>
          <w:p>
            <w:pPr>
              <w:pStyle w:val="TableContents"/>
              <w:bidi w:val="0"/>
              <w:spacing w:before="0" w:after="283"/>
              <w:jc w:val="left"/>
              <w:rPr>
                <w:sz w:val="4"/>
                <w:szCs w:val="4"/>
              </w:rPr>
            </w:pPr>
            <w:r>
              <w:rPr>
                <w:sz w:val="4"/>
                <w:szCs w:val="4"/>
              </w:rPr>
            </w:r>
          </w:p>
        </w:tc>
      </w:tr>
      <w:tr>
        <w:trPr/>
        <w:tc>
          <w:tcPr>
            <w:tcW w:w="6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made during the seventh offering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issuance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related to the eighth offering period made subsequent to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3,413 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24. Related Party Disclosures</w:t>
      </w:r>
    </w:p>
    <w:p>
      <w:pPr>
        <w:pStyle w:val="TextBody"/>
        <w:bidi w:val="0"/>
        <w:spacing w:before="0" w:after="0"/>
        <w:jc w:val="left"/>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provides data and AI-led solutions and services to Corridor Platforms, Inc., which is an equity affiliate of the Company. The Company recognized revenues, net of $97 and $42, during the three months ended June 30, 2026 and 2025 respectively, and $181 and $84, during the six months ended June 30, 2026 and 2025 respectively. The Company had outstanding accounts receivable, net of $41 and $28, related to this service contract as of June 30, 2026 and December 31, 2025, respectively.</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25.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Capital Commitments</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had committed to spend approximately $11,900 and $8,700, respectively, net of capital advances, under agreements to purchase property and equipment.</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June 15, 2023, the Company, along with other limited partners, entered into a limited partnership agreement with the general partner, PNP Financial Services Fund GP I, LLC and initial limited partner and outgoing partner, to form a partnership with the name Plug and Play Financial Services Fund I, L.P. (the “Partnership”) for the primary purpose of making investments in growth-stage technology companies. The Company committed to make an aggregate investment of $4,000 in the Partnership. As of June 30, 2026, the Company has invested $3,000 in the Partnership and is committed to make further investments up to an amount of $1,000.</w:t>
      </w:r>
    </w:p>
    <w:p>
      <w:pPr>
        <w:pStyle w:val="TextBody"/>
        <w:bidi w:val="0"/>
        <w:spacing w:before="0" w:after="0"/>
        <w:ind w:left="0" w:right="0" w:firstLine="495"/>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Commitments</w:t>
      </w:r>
    </w:p>
    <w:p>
      <w:pPr>
        <w:pStyle w:val="TextBody"/>
        <w:bidi w:val="0"/>
        <w:spacing w:before="0" w:after="0"/>
        <w:jc w:val="left"/>
        <w:rPr/>
      </w:pPr>
      <w:r>
        <w:rPr/>
      </w:r>
    </w:p>
    <w:p>
      <w:pPr>
        <w:pStyle w:val="TextBody"/>
        <w:bidi w:val="0"/>
        <w:spacing w:lineRule="auto" w:line="268" w:before="0" w:after="0"/>
        <w:ind w:left="0" w:right="0" w:firstLine="450"/>
        <w:jc w:val="both"/>
        <w:rPr/>
      </w:pPr>
      <w:r>
        <w:rPr>
          <w:rFonts w:ascii="Times New Roman;serif" w:hAnsi="Times New Roman;serif"/>
          <w:b w:val="false"/>
          <w:color w:val="000000"/>
          <w:sz w:val="20"/>
        </w:rPr>
        <w:t>Certain units of the Company’s Indian subsidiaries were established as 100%</w:t>
      </w:r>
      <w:r>
        <w:rPr>
          <w:color w:val="000000"/>
          <w:shd w:fill="FFFFFF" w:val="clear"/>
        </w:rPr>
        <w:t xml:space="preserve"> </w:t>
      </w:r>
      <w:r>
        <w:rPr>
          <w:rFonts w:ascii="Times New Roman;serif" w:hAnsi="Times New Roman;serif"/>
          <w:b w:val="false"/>
          <w:color w:val="000000"/>
          <w:sz w:val="20"/>
        </w:rPr>
        <w:t>Export-Oriented units or under the Software Technology Parks of India or Special Economic Zone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 duty free, in the event that certain terms and conditions are not fulfilled. The Company believes, however, that these units have in the past satisfied, and will continue to satisfy, the required conditions.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operations centers in the Philippines are registered as qualified Philippines Economic Zone Authority units, which provides the Company fiscal incentives on the import of capital goods and local purchase of services and materials. The Company is required to meet certain requirements to retain the incentives. The Company has complied, and intends to continue compliance, with the requirements to avail itself of the incentives.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transfer pricing regulations in the countries where the Company operates require that controlled intercompany transactions be at arm’s-length. Accordingly, the Company determines and documents pricing for controlled intercompany transactions based on an economic analysis as prescribed in the respective regulations. The tax authorities have jurisdiction to review the Company’s transfer pricing. If the Company’s transfer pricing is challenged by the authorities, they could assess additional tax, interest and penalties, thereby impacting the Company’s profitability and cash flows.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is currently involved in transfer pricing and related income tax disputes with Indian tax authorities. The aggregate amount demanded by Indian tax authorities (net of advance payments) as of June 30, 2026 and December 31, 2025 is $44,376 and $42,205, respectively. The Company has made payments and/or provided bank guarantees against these demands in the amounts of $7,436 and $7,684, as of June 30, 2026 and December 31, 2025, respectively. The Company believes that its positions will more likely than not be sustained upon final examination by the tax authorities, and accordingly has not accrued any liabilities with respect to these matters in its consolidated financial statements.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reviewing the Company’s annual VAT and service tax filings, the Indian tax authorities raised aggregate demands for tax years 2015 and 2017, in the amounts of $4,923 and $5,186, as of June 30, 2026 and December 31, 2025, respectively. The Company has made payments and/or provided bank guarantees against these demands in the amounts of $4,832 and $5,090, as of June 30, 2026 and December 31, 2025, respectively. The Company has filed appeals against these matters and believes that it is more likely than not that upon final examination its position will be sustained based on technical merits.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Indian Goods and Services Tax (“GST”) authorities rejected the Company’s refund claims in the amounts of $5,216 and $5,494 as of June 30, 2026 and December 31, 2025, respectively. The Company has filed appeals against these matters and believes that it is more likely than not that upon final examination its position will be sustained based on its technical merits. Accordingly, no allowances were recorded against these GST receivables as of June 30, 2026 and December 31, 2025, respectively.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Some of the Company’s subsidiaries in India have undergone assessments with the statutory authority with respect to defined contribution plan. Except for some components of the assessments for which the Company has recognized a provision in the unaudited consolidated financial statements, the Company believes that the amount demanded by such authority is not a meaningful indicator of the potential liabilities of the Company, and that these matters are without merit. The Company is defending against the assessment orders and in two cases, has instituted an appeal against the order before the relevant tribunal while also making a payment under protest of the amount demanded. As of the reporting date, the Company’s management does not believe that the ultimate assessments in any of these matters will have a material adverse effect on the Company’s consolidated financial condition, results of operations or cash flows. The Company will continue to monitor and evaluate its position based on future events and developments on these matters.</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its subsidiaries, and/or their present officers or directors, may be or have been, named as a defendant in litigation matters, including employment-related claims. The plaintiffs in those cases seek damages, including, where applicable, compensatory damages, punitive damages and attorney’s fees. With respect to pending litigation matters as of the reporting date, the Company believes that the damages claimed are without merit, and the Company intends to vigorously defend them. The Company will continuously monitor developments on these matters to assess potential impacts to the financial statements.</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outcomes of legal actions are unpredictable and subject to significant uncertainties, and thus it is inherently difficult to determine the likelihood of the Company incurring a material loss or quantification of any such loss. With respect to certain pending litigation matters as of the reporting date, the Company has made provisions based on information currently available, including its evaluation of the facts underlying each matter and legal counsel’s advice on the estimated losses or range of reasonably possible losses. Based on the Company’s assessment, including the availability of insurance recoveries, the Company’s management does not believe that currently pending litigation, individually or in aggregate, will have a material adverse effect on the Company’s consolidated financial condition, results of operations or cash flows. The Company will continuously monitor these matters to assess potential impacts to the financial statements.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2025. Some of the statements in the following discussion are forward looking statements.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left"/>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the United States Private Securities Litigation Reform Act of 1995.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pStyle w:val="TextBody"/>
        <w:bidi w:val="0"/>
        <w:spacing w:before="0" w:after="0"/>
        <w:ind w:left="0" w:right="0" w:firstLine="450"/>
        <w:jc w:val="both"/>
        <w:rPr/>
      </w:pPr>
      <w:r>
        <w:rPr/>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our ability to maintain and grow client demand for our services and solutions, including anticipating and incorporating the latest technologies, for instance, artificial intelligence (“AI”), including generative AI, agentic AI into our offerings;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use of AI technology presents competitive, operational, reputational and legal risks, and our use of AI technology may not be successful;</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impact on client demand by the selling cycle and terms of our client contracts; including for our AI-related offerings;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our ability to attract and retain enough sufficiently trained employees to support our operations or any changes in the senior management team;</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our ability to accurately estimate and/or manage costs;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our ability to adjust our pricing terms or effectively manage our asset utilization levels to meet the changing demands of our clients and potential clients;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cyber security incidents, data breaches, additional cybersecurity and privacy risks from growing use of AI, or other unauthorized disclosure of sensitive or confidential client and employee data;</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reliance on third parties to deliver services and infrastructure for client critical services, and on third party data use rights for certain of our offerings;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employee wage increases;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failure to protect our intellectual property;</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our dependence on a limited number of clients and our ability to withstand the loss of a significant client;</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our ability to manage rapid infrastructure and personnel growth across countries, including losing key talent to competitors;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our ability to successfully consummate or integrate announced or future strategic acquisitions, including the impact from the impairment of goodwill and other intangible assets, if any;</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legal liability arising out of customer and third party contracts;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increasing competition in our industry, including from other providers and from internal resources of our clients;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our ability to make accurate estimates and assumptions in connection with the preparation of our consolidated financial statements;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challenges related to upgrading our enterprise resource planning system;</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credit risk fluctuations in the market values of our investment and derivatives portfolios;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telecommunications or technology disruptions or breaches, natural or other disasters, medical epidemics or pandemics, or acts of violence or war;</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challenges by applicable tax authorities to transfer pricing determinations or the introduction of new or unfavorable tax legislation, tariffs, including legal restrictions on repatriation of funds held abroad;</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exposure to currency exchange rate fluctuations in the various currencies in which we do business including rising inflation, high interest rates and economic recessionary trends on currency exchange rates;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restrictions on immigration and work permits;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regulatory, legislative and judicial developments, including our ability to adhere to regulations or accreditation or licensing standards that govern our business;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our ability to service debt or obtain additional financing on competitive terms, or exposure to interest rate fluctuations that are not fully hedged through interest rate swaps; and</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negative public reaction in the United States or elsewhere to offshore outsourcing;</w:t>
      </w:r>
    </w:p>
    <w:p>
      <w:pPr>
        <w:pStyle w:val="TextBody"/>
        <w:bidi w:val="0"/>
        <w:spacing w:before="60" w:after="6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These and other factors are more fully discussed in our Annual Report on Form 10-K for the fiscal year ended December 31, 2025. These and other risks could cause actual results to differ materially from those implied by forward-looking statements in this Quarterly Report on Form 10-Q.</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made by us in this Quarterly Report on Form 10-Q, or elsewhere, speak only as of the date on which they were made. New risks and uncertainties may occur from time to time, and it is impossible for us to predict those events or how they may affect us. We have no obligation to update any forward-looking statements in this Quarterly Report on Form 10-Q after the date of this Quarterly Report on Form 10-Q, except as required by federal securities laws.</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Executive Overview</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 global data and artificial intelligence (“AI”) company that offers services and solutions to reinvent client business models, drive better outcomes and unlock growth with speed. We harness the power of data, AI, and deep industry knowledge to transform businesses, including the world’s leading corporations in industries including insurance, healthcare and life sciences, banking and capital markets, retail, communications and media, and energy and infrastructure, among others.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One of our key assets is our global delivery network, which includes highly trained industry and process specialists across the United States, the United Kingdom, Latin America, South Africa, Europe and Asia (primarily India and the Philippines). We have operations centers in India, the United States, the Philippines, South Africa, Colombia, Bulgaria, Romania, the United Kingdom, the Czech Republic, Mexico and the Republic of Ireland.</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manage and report financial information through four reportable segments, aligned to our Industry Market Units (“IMUs”): Insurance, Healthcare and Life Sciences, Banking, Capital Markets and Diversified Industries, and International Growth Markets, which reflects the manner in which our management reviews financial information and makes operating decisions.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June 22, 2026, we, through our wholly owned subsidiary Clairvoyant AI, Inc. entered into a securities purchase agreement (the “Purchase Agreement”) to acquire 100% of the equity securities of I Merit Inc., a Delaware Corporation (“iMerit”), in exchange for upfront cash consideration of $170 million, subject to certain post-closing adjustments, and up to an additional $140 million in cash incentives and earnouts over two years contingent on meeting specified milestones, as set forth in the Purchase Agreement. iMerit is a recognized leader in AI model training, evaluation and reinforcement learning. It is focused on helping its clients train large language and multimodal models to improve accuracy, precision, and effectiveness. The acquisition strengthens our ability to help enterprises achieve measurable outcomes from AI, builds partnerships with leading foundation model builders and expands its reach into high-growth AI tech sectors. The transaction is expected to close in the third quarter of 2026, subject to customary closing conditions, including expiration or termination of the waiting period for applicable antitrust regulations.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Revenues</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we generated revenues of $594.8 million compared to revenues of $514.5 million for the three months ended June 30, 2025, an increase of $80.3 million, or 15.6%. For the six months ended June 30, 2026, we generated revenues of $1,165.1 million compared to revenues of $1,015.5 million for the six months ended June 30, 2025, an increase of $149.6 million, or 14.7%.</w:t>
      </w:r>
    </w:p>
    <w:p>
      <w:pPr>
        <w:pStyle w:val="TextBody"/>
        <w:bidi w:val="0"/>
        <w:spacing w:before="0" w:after="0"/>
        <w:jc w:val="left"/>
        <w:rPr/>
      </w:pPr>
      <w:r>
        <w:rPr/>
      </w:r>
    </w:p>
    <w:p>
      <w:pPr>
        <w:pStyle w:val="TextBody"/>
        <w:bidi w:val="0"/>
        <w:spacing w:lineRule="auto" w:line="276" w:before="0" w:after="0"/>
        <w:ind w:left="0" w:right="0" w:firstLine="450"/>
        <w:jc w:val="both"/>
        <w:rPr/>
      </w:pPr>
      <w:r>
        <w:rPr>
          <w:rFonts w:ascii="Times New Roman;serif" w:hAnsi="Times New Roman;serif"/>
          <w:b w:val="false"/>
          <w:color w:val="000000"/>
          <w:sz w:val="20"/>
        </w:rPr>
        <w:t>We serve cli</w:t>
      </w:r>
      <w:r>
        <w:rPr>
          <w:rFonts w:ascii="Times New Roman;serif" w:hAnsi="Times New Roman;serif"/>
          <w:b w:val="false"/>
          <w:color w:val="000000"/>
          <w:sz w:val="20"/>
          <w:shd w:fill="FFFFFF" w:val="clear"/>
        </w:rPr>
        <w:t xml:space="preserve">ents mainly in </w:t>
      </w:r>
      <w:r>
        <w:rPr>
          <w:rFonts w:ascii="Times New Roman;serif" w:hAnsi="Times New Roman;serif"/>
          <w:b w:val="false"/>
          <w:color w:val="000000"/>
          <w:sz w:val="20"/>
        </w:rPr>
        <w:t>North America, and the United Kingdom &amp; Europe</w:t>
      </w:r>
      <w:r>
        <w:rPr>
          <w:rFonts w:ascii="Times New Roman;serif" w:hAnsi="Times New Roman;serif"/>
          <w:b w:val="false"/>
          <w:color w:val="000000"/>
          <w:sz w:val="20"/>
          <w:shd w:fill="FFFFFF" w:val="clear"/>
        </w:rPr>
        <w:t>, with these two regions generating 82.3% and 15.0%, respectively, of our total revenues for the three months ended June 30, 2026, and 82.2% and 15.1%, respectively, of our total revenues for the three months ended June 30, 2025. For the six months ended June 30, 2026, these two regions generated 82.6% and 14.8%, respectively, of our total revenues and 82.5% and 14.8%, respectively, of our total revenues for the six months ended June 30, 2025.</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our total revenues from our top ten clients accounted for 34.1% and 33.5% of our total revenues, respectively. For the six months ended June 30, 2026 and 2025, our total revenues from our top ten clients accounted for 34.3% and 33.6% of our total revenues, respectively. Although we continue to develop relationships with new clients to diversify our client base, we believe that the loss of any of our top ten clients could have a material adverse effect on our financial performance.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Our Business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provide data and AI-led solutions and services and digital operations solutions and services to our clients. We market and sell our solutions and services to existing and prospective clients through our sales and client management teams, which are aligned by our IMUs. Our sales and client management teams operate primarily from the United States, India, the United Kingdom, Ireland and Australia.</w:t>
      </w:r>
    </w:p>
    <w:p>
      <w:pPr>
        <w:pStyle w:val="TextBody"/>
        <w:bidi w:val="0"/>
        <w:spacing w:before="0" w:after="0"/>
        <w:jc w:val="both"/>
        <w:rPr/>
      </w:pPr>
      <w:r>
        <w:rPr/>
      </w:r>
    </w:p>
    <w:p>
      <w:pPr>
        <w:pStyle w:val="TextBody"/>
        <w:bidi w:val="0"/>
        <w:spacing w:lineRule="auto" w:line="268" w:before="0" w:after="0"/>
        <w:ind w:left="0" w:right="0" w:firstLine="450"/>
        <w:jc w:val="both"/>
        <w:rPr/>
      </w:pPr>
      <w:r>
        <w:rPr>
          <w:rFonts w:ascii="Times New Roman;serif" w:hAnsi="Times New Roman;serif"/>
          <w:b/>
          <w:color w:val="000000"/>
          <w:sz w:val="20"/>
        </w:rPr>
        <w:t xml:space="preserve">Data and AI-led: </w:t>
      </w:r>
      <w:r>
        <w:rPr>
          <w:rFonts w:ascii="Times New Roman;serif" w:hAnsi="Times New Roman;serif"/>
          <w:b w:val="false"/>
          <w:color w:val="000000"/>
          <w:sz w:val="20"/>
        </w:rPr>
        <w:t>Data and AI-led revenue is derived from our Data Management, Analytics, AI services and solutions businesses. It includes revenue from fully integrated business operations like payment integrity services and platform-based solutions and services, which combine operations, technology, data, analytics, and AI. It also includes revenue from operations that embed data and AI within clients’ operational workflows.</w:t>
      </w:r>
    </w:p>
    <w:p>
      <w:pPr>
        <w:pStyle w:val="TextBody"/>
        <w:bidi w:val="0"/>
        <w:spacing w:before="0" w:after="0"/>
        <w:jc w:val="left"/>
        <w:rPr/>
      </w:pPr>
      <w:r>
        <w:rPr/>
      </w:r>
    </w:p>
    <w:p>
      <w:pPr>
        <w:pStyle w:val="TextBody"/>
        <w:bidi w:val="0"/>
        <w:spacing w:lineRule="auto" w:line="268" w:before="0" w:after="0"/>
        <w:ind w:left="0" w:right="0" w:firstLine="450"/>
        <w:jc w:val="both"/>
        <w:rPr/>
      </w:pPr>
      <w:r>
        <w:rPr>
          <w:rFonts w:ascii="Times New Roman;serif" w:hAnsi="Times New Roman;serif"/>
          <w:b/>
          <w:color w:val="000000"/>
          <w:sz w:val="20"/>
        </w:rPr>
        <w:t xml:space="preserve">Digital operations: </w:t>
      </w:r>
      <w:r>
        <w:rPr>
          <w:rFonts w:ascii="Times New Roman;serif" w:hAnsi="Times New Roman;serif"/>
          <w:b w:val="false"/>
          <w:color w:val="000000"/>
          <w:sz w:val="20"/>
        </w:rPr>
        <w:t>Digital operations revenue is derived from managed services that blend our deep domain expertise with industry-specific solutions and services to operate clients’ business functions with enhanced productivity, greater speed and improved accuracy. These digital operations deployments form the foundation for future client transformation opportunities to infuse AI into client workflows and unlock even greater value.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reportable segments, aligned to our IMUs, which provide data and AI-led solutions and services and digital operations solutions and services, are described below:</w:t>
      </w:r>
    </w:p>
    <w:p>
      <w:pPr>
        <w:pStyle w:val="TextBody"/>
        <w:bidi w:val="0"/>
        <w:spacing w:before="0" w:after="0"/>
        <w:jc w:val="left"/>
        <w:rPr/>
      </w:pPr>
      <w:r>
        <w:rPr/>
      </w:r>
    </w:p>
    <w:p>
      <w:pPr>
        <w:pStyle w:val="TextBody"/>
        <w:bidi w:val="0"/>
        <w:spacing w:lineRule="auto" w:line="288" w:before="0" w:after="0"/>
        <w:ind w:left="0" w:right="0" w:firstLine="450"/>
        <w:jc w:val="both"/>
        <w:rPr/>
      </w:pPr>
      <w:r>
        <w:rPr>
          <w:rFonts w:ascii="Times New Roman;serif" w:hAnsi="Times New Roman;serif"/>
          <w:b/>
          <w:color w:val="000000"/>
          <w:sz w:val="20"/>
        </w:rPr>
        <w:t>Insurance:</w:t>
      </w:r>
      <w:r>
        <w:rPr>
          <w:color w:val="000000"/>
        </w:rPr>
        <w:t xml:space="preserve"> </w:t>
      </w:r>
      <w:r>
        <w:rPr>
          <w:rFonts w:ascii="Times New Roman;serif" w:hAnsi="Times New Roman;serif"/>
          <w:b w:val="false"/>
          <w:color w:val="000000"/>
          <w:sz w:val="20"/>
        </w:rPr>
        <w:t>We serve insurance brokers, reinsurers, and insurtech companies and provide services to insurers in the areas of property and casualty, life, disability, annuity, and retirement services.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offerings include claims management, premium and benefit administration, agency management, account reconciliation, actuarial and risk analytics, policy research, digital marketing, new business acquisition, underwriting support, policy servicing, premium audit, surveys, billing and collection, commercial and residential survey, finance and accounting, and customer service using digital technology, AI, including agentic AI, generative AI, machine learning (“ML”) and advanced automation. We also combine our cloud-first digital insurance software solutions and industry expertise with agentic AI, generative AI, machine learning, advanced analytics, and platforms. This includes our Insurance Large Language Model (“LLM”), a specialized generative AI platform for claims, underwriting and subrogation, developed leveraging our deep experience and proprietary data in the insurance industry. Additionally, we provide third-party administration for life and annuity insurance through our LifePRO® and Life Digital Suite SaaS platforms and also offer subrogation services to property and casualty insurers using our Subrosource® BPaaS platform.</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450"/>
        <w:jc w:val="both"/>
        <w:rPr/>
      </w:pPr>
      <w:r>
        <w:rPr>
          <w:rFonts w:ascii="Times New Roman;serif" w:hAnsi="Times New Roman;serif"/>
          <w:b/>
          <w:color w:val="000000"/>
          <w:sz w:val="20"/>
        </w:rPr>
        <w:t>Healthcare and Life Sciences:</w:t>
      </w:r>
      <w:r>
        <w:rPr>
          <w:color w:val="000000"/>
        </w:rPr>
        <w:t xml:space="preserve"> </w:t>
      </w:r>
      <w:r>
        <w:rPr>
          <w:rFonts w:ascii="Times New Roman;serif" w:hAnsi="Times New Roman;serif"/>
          <w:b w:val="false"/>
          <w:color w:val="000000"/>
          <w:sz w:val="20"/>
        </w:rPr>
        <w:t>We serve U.S.-based healthcare payers, providers, pharmacy benefit managers (“PBMs”), and life sciences organizations by combining deep healthcare and life sciences domain expertise with data, analytics and AI-led insights and technology-enabled services that transform how care is delivered, managed and paid.</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provide care management, utilization management, disease management, payment integrity, revenue optimization and customer engagement, commercial analytics and regulatory support services to improve healthcare outcomes, enhanced patient and provider experience, optimized healthcare spending and streamline healthcare administration processes by simplifying complex workflows.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healthcare payers, we offer payment integrity services, pre and post-pay auditing services, payment analytics, subrogation and claims recovery, care management and patient navigation solutions. For healthcare providers, we offer revenue cycle management, digital transformation, data-driven analytics and contact center solutions. For PBMs, we provide digital transformation, data and analytics and call center modernization. Our life sciences offerings combine domain expertise, data engineering, AI-driven insight generation, and digital operations to deliver outcomes across commercial, clinical, regulatory, and patient support functions. We leverage AI, analytics, and cloud-based solutions to enhance value-based care, optimize claims, and ensure regulatory compliance.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color w:val="000000"/>
          <w:sz w:val="20"/>
        </w:rPr>
        <w:t xml:space="preserve">Banking, Capital Markets, and Diversified Industries: </w:t>
      </w:r>
      <w:r>
        <w:rPr>
          <w:rFonts w:ascii="Times New Roman;serif" w:hAnsi="Times New Roman;serif"/>
          <w:b w:val="false"/>
          <w:color w:val="000000"/>
          <w:sz w:val="20"/>
        </w:rPr>
        <w:t>Our Banking and Capital Markets and Diversified Industries group delivers comprehensive solutions across retail and commercial banking, credit card and payment services, fintech, wealth and retirement services, capital markets, utilities, retail and consumer packaged goods, communications, media and entertainment, travel and leisure, transportation and logistics, infrastructure and other business services industries.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By integrating deep domain expertise with AI-driven decision-making, we enable financial institutions to innovate, enhance operational agility, and adapt to evolving market demands. We provide risk management solutions, marketing and customer analytics solutions to our clients, along with our integrated operations services that encompass the full range of banking operations, including digital lending solutions that improve underwriting and compliance, omni-channel marketing, digital onboarding, know your customer (“KYC”)/anti-money laundering (“AML”) compliance, collections, fraud prevention, and customer servicing, among others. Our industry-leading AI and automation-driven service offerings drive operational efficiency and foster innovation across the financial services and other industries.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enterprise services and solutions include domain-specific operations, integrated finance and accounting services, customer experience management, back-office operations, and revenue enhancement, such as pricing and billing, enabling our clients to deliver enhanced operational efficiency, and high-quality customer experiences. For example, in the retail and consumer packaged goods sectors, we enable advanced supply chain performance through AI-driven analytics services supporting smarter merchandising, dynamic pricing, and accurate demand forecasting and for our clients in the utilities sector, we offer AI-enabled operations and solutions related to end-to-end customer life cycle management, including onboarding and terminations, engineering field operations, billing, and debt management.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color w:val="000000"/>
          <w:sz w:val="20"/>
        </w:rPr>
        <w:t>International Growth Markets:</w:t>
      </w:r>
      <w:r>
        <w:rPr>
          <w:color w:val="000000"/>
        </w:rPr>
        <w:t xml:space="preserve"> </w:t>
      </w:r>
      <w:r>
        <w:rPr>
          <w:rFonts w:ascii="Times New Roman;serif" w:hAnsi="Times New Roman;serif"/>
          <w:b w:val="false"/>
          <w:color w:val="000000"/>
          <w:sz w:val="20"/>
        </w:rPr>
        <w:t>Our International Growth Markets (“IGM”) IMU is focused on strengthening our global footprint outside of North America. We ensure customized delivery while leveraging EXL’s global capabilities in data, AI, and digital operations to drive differentiated business outcomes for our clients in growth markets. This provides us with opportunities to leverage our investments, experience, and expertise from the North America market to expand our global client base, drive further growth, and bring us closer to our clients and partners across the world. IGM consists of dedicated teams servicing clients and localizing our global capabilities in insurance, life sciences, banking and capital markets, energy and infrastructure, retail, consumer goods, and travel industries in growth markets. Across all regions in which we operate, we combine deep domain experience with our data and AI expertise to help clients innovate, enhance operational agility, adapt to changing market demands, and drive better business transformation.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color w:val="000000"/>
          <w:sz w:val="20"/>
        </w:rPr>
        <w:t xml:space="preserve">Pricing: </w:t>
      </w:r>
      <w:r>
        <w:rPr>
          <w:rFonts w:ascii="Times New Roman;serif" w:hAnsi="Times New Roman;serif"/>
          <w:b w:val="false"/>
          <w:color w:val="000000"/>
          <w:sz w:val="20"/>
        </w:rPr>
        <w:t xml:space="preserve">We charge for our services using various pricing models like time-and-material pricing, full-time-equivalent pricing, transaction-based pricing, outcome-based pricing, subscription-based pricing and other alternative or emerging pricing models. Outcome-based pricing arrangements are an example of a non-linear pricing model where our revenues from platforms and solutions and the services we provide are compensated based on our clients’ usage or savings rather than the efforts we deploy to provide these services. We continue to observe a shift in the industry pricing models toward transaction-based pricing, outcome-based pricing and other alternative pricing models. We believe this trend will continue and we use such alternative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pricing models with some of our current clients and are seeking to move certain other clients from a full-time-equivalent pricing model to a transaction-based or other alternative pricing model. These alternative pricing models place the focus on operating efficiency in order to maintain or improve our gross margins.</w:t>
      </w:r>
    </w:p>
    <w:p>
      <w:pPr>
        <w:pStyle w:val="TextBody"/>
        <w:bidi w:val="0"/>
        <w:spacing w:before="0" w:after="0"/>
        <w:ind w:left="0" w:right="0" w:firstLine="45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have been no significant changes in our critical accounting policies and estimates during the six months ended June 30, 2026, as compared to the critical accounting policies and estimates referred in Part II, Item 7, “Management’s Discussion and Analysis of Financial Condition and Results of Operations” under “Critical Accounting Estimates” and Note 2 - Summary of Significant Accounting Policies to our consolidated financial statements included in our Annual Report on Form 10-K for the fiscal year ended December 31, 2025.</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Results of Operations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three months ended June 30, 2026 and 2025:</w:t>
      </w:r>
    </w:p>
    <w:p>
      <w:pPr>
        <w:pStyle w:val="TextBody"/>
        <w:bidi w:val="0"/>
        <w:spacing w:before="120" w:after="283"/>
        <w:ind w:left="0" w:right="0" w:firstLine="450"/>
        <w:jc w:val="left"/>
        <w:rPr/>
      </w:pPr>
      <w:r>
        <w:rPr/>
      </w:r>
    </w:p>
    <w:tbl>
      <w:tblPr>
        <w:tblW w:w="10205" w:type="dxa"/>
        <w:jc w:val="left"/>
        <w:tblInd w:w="0" w:type="dxa"/>
        <w:tblLayout w:type="fixed"/>
        <w:tblCellMar>
          <w:top w:w="28" w:type="dxa"/>
          <w:left w:w="28" w:type="dxa"/>
          <w:bottom w:w="28" w:type="dxa"/>
          <w:right w:w="28" w:type="dxa"/>
        </w:tblCellMar>
      </w:tblPr>
      <w:tblGrid>
        <w:gridCol w:w="828"/>
        <w:gridCol w:w="507"/>
        <w:gridCol w:w="476"/>
        <w:gridCol w:w="251"/>
        <w:gridCol w:w="733"/>
        <w:gridCol w:w="129"/>
        <w:gridCol w:w="109"/>
        <w:gridCol w:w="109"/>
        <w:gridCol w:w="109"/>
        <w:gridCol w:w="426"/>
        <w:gridCol w:w="219"/>
        <w:gridCol w:w="607"/>
        <w:gridCol w:w="109"/>
        <w:gridCol w:w="109"/>
        <w:gridCol w:w="109"/>
        <w:gridCol w:w="251"/>
        <w:gridCol w:w="733"/>
        <w:gridCol w:w="129"/>
        <w:gridCol w:w="109"/>
        <w:gridCol w:w="109"/>
        <w:gridCol w:w="109"/>
        <w:gridCol w:w="426"/>
        <w:gridCol w:w="219"/>
        <w:gridCol w:w="607"/>
        <w:gridCol w:w="109"/>
        <w:gridCol w:w="109"/>
        <w:gridCol w:w="109"/>
        <w:gridCol w:w="218"/>
        <w:gridCol w:w="530"/>
        <w:gridCol w:w="113"/>
        <w:gridCol w:w="109"/>
        <w:gridCol w:w="109"/>
        <w:gridCol w:w="109"/>
        <w:gridCol w:w="291"/>
        <w:gridCol w:w="241"/>
        <w:gridCol w:w="636"/>
      </w:tblGrid>
      <w:tr>
        <w:trPr/>
        <w:tc>
          <w:tcPr>
            <w:tcW w:w="828"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(dollars in millions)</w:t>
            </w:r>
          </w:p>
        </w:tc>
      </w:tr>
      <w:tr>
        <w:trPr/>
        <w:tc>
          <w:tcPr>
            <w:tcW w:w="1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Percentage of Revenues,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Percentage of Revenues,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Dollar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Percentage change</w:t>
            </w:r>
          </w:p>
        </w:tc>
      </w:tr>
      <w:tr>
        <w:trPr/>
        <w:tc>
          <w:tcPr>
            <w:tcW w:w="1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Revenues, net</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594.8 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100.0 </w:t>
            </w:r>
          </w:p>
        </w:tc>
        <w:tc>
          <w:tcPr>
            <w:tcW w:w="6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514.5 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100.0 </w:t>
            </w:r>
          </w:p>
        </w:tc>
        <w:tc>
          <w:tcPr>
            <w:tcW w:w="6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15.6 </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Cost of revenues </w:t>
            </w:r>
            <w:r>
              <w:rPr>
                <w:rFonts w:ascii="Times New Roman;serif" w:hAnsi="Times New Roman;serif"/>
                <w:b w:val="false"/>
                <w:color w:val="000000"/>
                <w:sz w:val="12"/>
              </w:rPr>
              <w:t>(1)</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368.8 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62.0 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320.3 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62.3 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15.2 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9"/>
              </w:rPr>
              <w:t xml:space="preserve">Gross profit </w:t>
            </w:r>
            <w:r>
              <w:rPr>
                <w:rFonts w:ascii="Times New Roman;serif" w:hAnsi="Times New Roman;serif"/>
                <w:b/>
                <w:color w:val="000000"/>
                <w:sz w:val="12"/>
              </w:rPr>
              <w:t>(1)</w:t>
            </w:r>
          </w:p>
        </w:tc>
        <w:tc>
          <w:tcPr>
            <w:tcW w:w="9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226.0</w:t>
            </w:r>
            <w:r>
              <w:rPr>
                <w:color w:val="000000"/>
              </w:rPr>
              <w:t>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38.0</w:t>
            </w:r>
            <w:r>
              <w:rPr>
                <w:color w:val="000000"/>
              </w:rPr>
              <w:t> </w:t>
            </w:r>
          </w:p>
        </w:tc>
        <w:tc>
          <w:tcPr>
            <w:tcW w:w="6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194.2</w:t>
            </w:r>
            <w:r>
              <w:rPr>
                <w:color w:val="000000"/>
              </w:rPr>
              <w:t>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37.7</w:t>
            </w:r>
            <w:r>
              <w:rPr>
                <w:color w:val="000000"/>
              </w:rPr>
              <w:t> </w:t>
            </w:r>
          </w:p>
        </w:tc>
        <w:tc>
          <w:tcPr>
            <w:tcW w:w="6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31.8</w:t>
            </w:r>
            <w:r>
              <w:rPr>
                <w:color w:val="000000"/>
              </w:rPr>
              <w:t>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16.4</w:t>
            </w:r>
            <w:r>
              <w:rPr>
                <w:color w:val="000000"/>
              </w:rPr>
              <w:t> </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expenses:</w:t>
            </w:r>
          </w:p>
        </w:tc>
        <w:tc>
          <w:tcPr>
            <w:tcW w:w="11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General and administrative expenses</w:t>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12.5 </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11.6 </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25.0 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Selling and marketing expenses</w:t>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8.3 </w:t>
            </w:r>
          </w:p>
        </w:tc>
        <w:tc>
          <w:tcPr>
            <w:tcW w:w="60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39.4 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7.7 </w:t>
            </w:r>
          </w:p>
        </w:tc>
        <w:tc>
          <w:tcPr>
            <w:tcW w:w="60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25.8 </w:t>
            </w:r>
          </w:p>
        </w:tc>
        <w:tc>
          <w:tcPr>
            <w:tcW w:w="6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 expense</w:t>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2.5 </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2.7 </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operating expenses</w:t>
            </w:r>
          </w:p>
        </w:tc>
        <w:tc>
          <w:tcPr>
            <w:tcW w:w="9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138.6 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23.3 </w:t>
            </w:r>
          </w:p>
        </w:tc>
        <w:tc>
          <w:tcPr>
            <w:tcW w:w="6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113.0 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22.0 </w:t>
            </w:r>
          </w:p>
        </w:tc>
        <w:tc>
          <w:tcPr>
            <w:tcW w:w="6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25.6 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22.7 </w:t>
            </w:r>
          </w:p>
        </w:tc>
        <w:tc>
          <w:tcPr>
            <w:tcW w:w="6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Income from operations</w:t>
            </w:r>
          </w:p>
        </w:tc>
        <w:tc>
          <w:tcPr>
            <w:tcW w:w="9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87.4</w:t>
            </w:r>
            <w:r>
              <w:rPr>
                <w:color w:val="000000"/>
              </w:rPr>
              <w:t>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14.7</w:t>
            </w:r>
            <w:r>
              <w:rPr>
                <w:color w:val="000000"/>
              </w:rPr>
              <w:t> </w:t>
            </w:r>
          </w:p>
        </w:tc>
        <w:tc>
          <w:tcPr>
            <w:tcW w:w="6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81.2</w:t>
            </w:r>
            <w:r>
              <w:rPr>
                <w:color w:val="000000"/>
              </w:rPr>
              <w:t>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15.8</w:t>
            </w:r>
            <w:r>
              <w:rPr>
                <w:color w:val="000000"/>
              </w:rPr>
              <w:t> </w:t>
            </w:r>
          </w:p>
        </w:tc>
        <w:tc>
          <w:tcPr>
            <w:tcW w:w="6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6.2</w:t>
            </w:r>
            <w:r>
              <w:rPr>
                <w:color w:val="000000"/>
              </w:rPr>
              <w:t>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7.6</w:t>
            </w:r>
            <w:r>
              <w:rPr>
                <w:color w:val="000000"/>
              </w:rPr>
              <w:t> </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Foreign exchange gain, net</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0.3 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0.4 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(27.2)</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(0.9)</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(0.8)</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18.4 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income, net</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(97.7)</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Income before income tax expense and earnings from equity affiliates</w:t>
            </w:r>
          </w:p>
        </w:tc>
        <w:tc>
          <w:tcPr>
            <w:tcW w:w="9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84.0</w:t>
            </w:r>
            <w:r>
              <w:rPr>
                <w:color w:val="000000"/>
              </w:rPr>
              <w:t>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14.1</w:t>
            </w:r>
            <w:r>
              <w:rPr>
                <w:color w:val="000000"/>
              </w:rPr>
              <w:t> </w:t>
            </w:r>
          </w:p>
        </w:tc>
        <w:tc>
          <w:tcPr>
            <w:tcW w:w="6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84.8</w:t>
            </w:r>
            <w:r>
              <w:rPr>
                <w:color w:val="000000"/>
              </w:rPr>
              <w:t>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16.5</w:t>
            </w:r>
            <w:r>
              <w:rPr>
                <w:color w:val="000000"/>
              </w:rPr>
              <w:t> </w:t>
            </w:r>
          </w:p>
        </w:tc>
        <w:tc>
          <w:tcPr>
            <w:tcW w:w="6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(0.8)</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(0.9)</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 expense</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Income before earnings from equity affiliates</w:t>
            </w:r>
          </w:p>
        </w:tc>
        <w:tc>
          <w:tcPr>
            <w:tcW w:w="9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64.6</w:t>
            </w:r>
            <w:r>
              <w:rPr>
                <w:color w:val="000000"/>
              </w:rPr>
              <w:t>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10.9</w:t>
            </w:r>
            <w:r>
              <w:rPr>
                <w:color w:val="000000"/>
              </w:rPr>
              <w:t> </w:t>
            </w:r>
          </w:p>
        </w:tc>
        <w:tc>
          <w:tcPr>
            <w:tcW w:w="6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66.2</w:t>
            </w:r>
            <w:r>
              <w:rPr>
                <w:color w:val="000000"/>
              </w:rPr>
              <w:t>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12.9</w:t>
            </w:r>
            <w:r>
              <w:rPr>
                <w:color w:val="000000"/>
              </w:rPr>
              <w:t> </w:t>
            </w:r>
          </w:p>
        </w:tc>
        <w:tc>
          <w:tcPr>
            <w:tcW w:w="6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(1.6)</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(2.5)</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Loss from equity-method investment</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income</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64.6</w:t>
            </w:r>
            <w:r>
              <w:rPr>
                <w:color w:val="000000"/>
              </w:rPr>
              <w:t>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10.8</w:t>
            </w:r>
            <w:r>
              <w:rPr>
                <w:color w:val="000000"/>
              </w:rPr>
              <w:t> </w:t>
            </w:r>
          </w:p>
        </w:tc>
        <w:tc>
          <w:tcPr>
            <w:tcW w:w="6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66.1</w:t>
            </w:r>
            <w:r>
              <w:rPr>
                <w:color w:val="000000"/>
              </w:rPr>
              <w:t>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12.8</w:t>
            </w:r>
            <w:r>
              <w:rPr>
                <w:color w:val="000000"/>
              </w:rPr>
              <w:t> </w:t>
            </w:r>
          </w:p>
        </w:tc>
        <w:tc>
          <w:tcPr>
            <w:tcW w:w="6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(1.5)</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(2.3)</w:t>
            </w:r>
          </w:p>
        </w:tc>
        <w:tc>
          <w:tcPr>
            <w:tcW w:w="6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r>
    </w:tbl>
    <w:p>
      <w:pPr>
        <w:pStyle w:val="TextBody"/>
        <w:bidi w:val="0"/>
        <w:spacing w:before="20" w:after="283"/>
        <w:ind w:left="0" w:right="0" w:firstLine="450"/>
        <w:jc w:val="center"/>
        <w:rPr/>
      </w:pPr>
      <w:r>
        <w:rPr/>
      </w:r>
    </w:p>
    <w:p>
      <w:pPr>
        <w:pStyle w:val="TextBody"/>
        <w:bidi w:val="0"/>
        <w:spacing w:lineRule="auto" w:line="288" w:before="0" w:after="0"/>
        <w:ind w:left="0" w:right="0" w:firstLine="450"/>
        <w:jc w:val="both"/>
        <w:rPr>
          <w:rFonts w:ascii="Times New Roman;serif" w:hAnsi="Times New Roman;serif"/>
          <w:b w:val="false"/>
          <w:i/>
          <w:color w:val="000000"/>
          <w:sz w:val="18"/>
        </w:rPr>
      </w:pPr>
      <w:r>
        <w:rPr>
          <w:rFonts w:ascii="Times New Roman;serif" w:hAnsi="Times New Roman;serif"/>
          <w:b w:val="false"/>
          <w:i/>
          <w:color w:val="000000"/>
          <w:sz w:val="18"/>
        </w:rPr>
        <w:t>(1) Exclusive of depreciation and amortization expense.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i/>
          <w:color w:val="000000"/>
          <w:sz w:val="18"/>
        </w:rPr>
      </w:pPr>
      <w:r>
        <w:rPr>
          <w:rFonts w:ascii="Times New Roman;serif" w:hAnsi="Times New Roman;serif"/>
          <w:b w:val="false"/>
          <w:i/>
          <w:color w:val="000000"/>
          <w:sz w:val="18"/>
        </w:rPr>
        <w:t>Due to rounding, the numbers presented in the tables included in this Part I, Item 2, “Management’s Discussion and Analysis of Financial Condition and Results of Operations” may not add up precisely to the totals provided.</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Three Months Ended June 30, 2026 compared to Three Months Ended June 30, 2025</w:t>
      </w:r>
    </w:p>
    <w:p>
      <w:pPr>
        <w:pStyle w:val="TextBody"/>
        <w:bidi w:val="0"/>
        <w:spacing w:lineRule="auto" w:line="288" w:before="120" w:after="283"/>
        <w:ind w:left="0" w:right="0" w:firstLine="450"/>
        <w:jc w:val="left"/>
        <w:rPr/>
      </w:pPr>
      <w:r>
        <w:rPr>
          <w:rFonts w:ascii="Times New Roman;serif" w:hAnsi="Times New Roman;serif"/>
          <w:b/>
          <w:i/>
          <w:color w:val="000000"/>
          <w:sz w:val="20"/>
        </w:rPr>
        <w:t xml:space="preserve">Revenues, net: </w:t>
      </w:r>
      <w:r>
        <w:rPr>
          <w:rFonts w:ascii="Times New Roman;serif" w:hAnsi="Times New Roman;serif"/>
          <w:b w:val="false"/>
          <w:color w:val="000000"/>
          <w:sz w:val="20"/>
        </w:rPr>
        <w:t>The following table summarizes our revenues by reportable segments:</w:t>
      </w:r>
    </w:p>
    <w:p>
      <w:pPr>
        <w:pStyle w:val="TextBody"/>
        <w:bidi w:val="0"/>
        <w:spacing w:before="120" w:after="283"/>
        <w:ind w:left="0" w:right="0" w:firstLine="450"/>
        <w:jc w:val="left"/>
        <w:rPr/>
      </w:pPr>
      <w:r>
        <w:rPr/>
      </w:r>
    </w:p>
    <w:tbl>
      <w:tblPr>
        <w:tblW w:w="10205" w:type="dxa"/>
        <w:jc w:val="left"/>
        <w:tblInd w:w="0" w:type="dxa"/>
        <w:tblLayout w:type="fixed"/>
        <w:tblCellMar>
          <w:top w:w="28" w:type="dxa"/>
          <w:left w:w="28" w:type="dxa"/>
          <w:bottom w:w="28" w:type="dxa"/>
          <w:right w:w="28" w:type="dxa"/>
        </w:tblCellMar>
      </w:tblPr>
      <w:tblGrid>
        <w:gridCol w:w="842"/>
        <w:gridCol w:w="628"/>
        <w:gridCol w:w="634"/>
        <w:gridCol w:w="211"/>
        <w:gridCol w:w="617"/>
        <w:gridCol w:w="109"/>
        <w:gridCol w:w="109"/>
        <w:gridCol w:w="109"/>
        <w:gridCol w:w="109"/>
        <w:gridCol w:w="211"/>
        <w:gridCol w:w="617"/>
        <w:gridCol w:w="109"/>
        <w:gridCol w:w="109"/>
        <w:gridCol w:w="109"/>
        <w:gridCol w:w="109"/>
        <w:gridCol w:w="237"/>
        <w:gridCol w:w="574"/>
        <w:gridCol w:w="122"/>
        <w:gridCol w:w="109"/>
        <w:gridCol w:w="109"/>
        <w:gridCol w:w="109"/>
        <w:gridCol w:w="255"/>
        <w:gridCol w:w="256"/>
        <w:gridCol w:w="508"/>
        <w:gridCol w:w="109"/>
        <w:gridCol w:w="109"/>
        <w:gridCol w:w="109"/>
        <w:gridCol w:w="400"/>
        <w:gridCol w:w="269"/>
        <w:gridCol w:w="481"/>
        <w:gridCol w:w="193"/>
        <w:gridCol w:w="193"/>
        <w:gridCol w:w="193"/>
        <w:gridCol w:w="400"/>
        <w:gridCol w:w="269"/>
        <w:gridCol w:w="569"/>
      </w:tblGrid>
      <w:tr>
        <w:trPr/>
        <w:tc>
          <w:tcPr>
            <w:tcW w:w="842"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7"/>
              </w:rPr>
              <w:t>Dollar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Percentage of Total Revenues for the three months ended June 30,</w:t>
            </w:r>
          </w:p>
        </w:tc>
      </w:tr>
      <w:tr>
        <w:trPr/>
        <w:tc>
          <w:tcPr>
            <w:tcW w:w="2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r>
      <w:tr>
        <w:trPr/>
        <w:tc>
          <w:tcPr>
            <w:tcW w:w="2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Healthcare and Life Sciences</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Banking, Capital Markets and Diversified Industries </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Growth Markets</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5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Revenues for the three months ended June 30, 2026 were up by $80.3 million, or 15.6%, compared to the three months ended June 30, 2025, driven by the expansion of business from our existing clients across all reportable segments by 13.3% and revenue from new clients wins by 2.6%, partially offset by a foreign exchange loss, net of hedging by 0.3% during the three months ended June 30, 2026.</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 growth in Insurance by 14.9% was driven by the expansion of business from our existing clients by 13.7% and new clients by 1.2% during the three months ended June 30, 2026, compared to the three months ended June 30, 2025.</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 growth in Healthcare and Life Sciences by 22.0% was driven by the expansion of business from our existing clients by 21.0% and new clients by 1.0% during the three months ended June 30, 2026, compared to the three months ended June 30, 2025.</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 growth in Banking, Capital Markets and Diversified Industries by 10.5% was driven by the expansion of business from our existing clients by 5.2% and new clients by 5.3% during the three months ended June 30, 2026, compared to the three months ended June 30, 2025.</w:t>
      </w:r>
    </w:p>
    <w:p>
      <w:pPr>
        <w:pStyle w:val="TextBody"/>
        <w:bidi w:val="0"/>
        <w:spacing w:before="0" w:after="0"/>
        <w:ind w:left="0" w:right="0" w:firstLine="45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 growth in International Growth Markets of 14.7% was driven by the expansion of business from our existing clients by 12.1%, new clients by 4.2%, partially offset by a foreign exchange loss, net of hedging by 1.6% during the three months ended June 30, 2026, compared to the three months ended June 30, 2025.</w:t>
      </w:r>
    </w:p>
    <w:p>
      <w:pPr>
        <w:pStyle w:val="TextBody"/>
        <w:bidi w:val="0"/>
        <w:spacing w:before="120" w:after="283"/>
        <w:jc w:val="both"/>
        <w:rPr/>
      </w:pPr>
      <w:r>
        <w:rPr/>
      </w:r>
    </w:p>
    <w:p>
      <w:pPr>
        <w:pStyle w:val="TextBody"/>
        <w:bidi w:val="0"/>
        <w:spacing w:lineRule="auto" w:line="288" w:before="0" w:after="0"/>
        <w:ind w:left="0" w:right="0" w:firstLine="450"/>
        <w:jc w:val="left"/>
        <w:rPr/>
      </w:pPr>
      <w:r>
        <w:rPr>
          <w:rFonts w:ascii="Times New Roman;serif" w:hAnsi="Times New Roman;serif"/>
          <w:b/>
          <w:i/>
          <w:color w:val="000000"/>
          <w:sz w:val="20"/>
        </w:rPr>
        <w:t>Cost of Revenues and Gross Margin</w:t>
      </w:r>
      <w:r>
        <w:rPr>
          <w:rFonts w:ascii="Times New Roman;serif" w:hAnsi="Times New Roman;serif"/>
          <w:b/>
          <w:color w:val="000000"/>
          <w:sz w:val="20"/>
        </w:rPr>
        <w:t xml:space="preserve">: </w:t>
      </w:r>
      <w:r>
        <w:rPr>
          <w:rFonts w:ascii="Times New Roman;serif" w:hAnsi="Times New Roman;serif"/>
          <w:b w:val="false"/>
          <w:color w:val="000000"/>
          <w:sz w:val="20"/>
        </w:rPr>
        <w:t xml:space="preserve">The following table sets forth cost of revenues and gross margin of our reportable segments: </w:t>
      </w:r>
    </w:p>
    <w:p>
      <w:pPr>
        <w:pStyle w:val="TextBody"/>
        <w:bidi w:val="0"/>
        <w:spacing w:before="0" w:after="0"/>
        <w:ind w:left="0" w:right="0" w:firstLine="450"/>
        <w:jc w:val="left"/>
        <w:rPr/>
      </w:pPr>
      <w:r>
        <w:rPr/>
      </w:r>
    </w:p>
    <w:tbl>
      <w:tblPr>
        <w:tblW w:w="10205" w:type="dxa"/>
        <w:jc w:val="left"/>
        <w:tblInd w:w="0" w:type="dxa"/>
        <w:tblLayout w:type="fixed"/>
        <w:tblCellMar>
          <w:top w:w="28" w:type="dxa"/>
          <w:left w:w="28" w:type="dxa"/>
          <w:bottom w:w="28" w:type="dxa"/>
          <w:right w:w="28" w:type="dxa"/>
        </w:tblCellMar>
      </w:tblPr>
      <w:tblGrid>
        <w:gridCol w:w="736"/>
        <w:gridCol w:w="519"/>
        <w:gridCol w:w="524"/>
        <w:gridCol w:w="211"/>
        <w:gridCol w:w="617"/>
        <w:gridCol w:w="109"/>
        <w:gridCol w:w="109"/>
        <w:gridCol w:w="109"/>
        <w:gridCol w:w="109"/>
        <w:gridCol w:w="211"/>
        <w:gridCol w:w="617"/>
        <w:gridCol w:w="109"/>
        <w:gridCol w:w="109"/>
        <w:gridCol w:w="109"/>
        <w:gridCol w:w="109"/>
        <w:gridCol w:w="225"/>
        <w:gridCol w:w="545"/>
        <w:gridCol w:w="116"/>
        <w:gridCol w:w="109"/>
        <w:gridCol w:w="109"/>
        <w:gridCol w:w="109"/>
        <w:gridCol w:w="255"/>
        <w:gridCol w:w="256"/>
        <w:gridCol w:w="508"/>
        <w:gridCol w:w="109"/>
        <w:gridCol w:w="109"/>
        <w:gridCol w:w="109"/>
        <w:gridCol w:w="255"/>
        <w:gridCol w:w="256"/>
        <w:gridCol w:w="306"/>
        <w:gridCol w:w="123"/>
        <w:gridCol w:w="123"/>
        <w:gridCol w:w="123"/>
        <w:gridCol w:w="255"/>
        <w:gridCol w:w="256"/>
        <w:gridCol w:w="306"/>
        <w:gridCol w:w="109"/>
        <w:gridCol w:w="109"/>
        <w:gridCol w:w="109"/>
        <w:gridCol w:w="215"/>
        <w:gridCol w:w="216"/>
        <w:gridCol w:w="578"/>
      </w:tblGrid>
      <w:tr>
        <w:trPr/>
        <w:tc>
          <w:tcPr>
            <w:tcW w:w="73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Margin</w:t>
            </w:r>
          </w:p>
        </w:tc>
      </w:tr>
      <w:tr>
        <w:trPr/>
        <w:tc>
          <w:tcPr>
            <w:tcW w:w="17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0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r>
      <w:tr>
        <w:trPr/>
        <w:tc>
          <w:tcPr>
            <w:tcW w:w="17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7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Healthcare and Life Sciences</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Banking, Capital Markets and Diversified Industries </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Growth Markets</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5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3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3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20" w:after="283"/>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Cost of revenues for the three months ended June 30, 2026 increased by $48.5 million, or 15.2% compared to the three months ended June 30, 2025. The increase in cost of revenues was due to increases in employee-related costs of $44.9 million on account of higher headcount and wage inflation, and higher technology costs of $8.4 million, facilities and other operating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of $4.4 million, partially offset by a foreign exchange gain, net of hedging of $9.2 million. Our gross margin for the three months ended June 30, 2026 was 38.0%, compared to 37.7% for the three months ended June 30, 2025, an increase of 30 basis points (“bps”), primarily driven by higher revenues and operational efficiencies, partially offset by lower volumes from certain existing clients.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cost of revenues in Insurance by $17.1 million for the three months ended June 30, 2026 was due to increases in employee-related costs of $15.6 million on account of higher headcount and wage inflation, higher technology costs of $2.5 million, and other operating costs of $1.3 million, partially offset by foreign exchange gain, net of hedging of $2.3 million. Gross margin in Insurance decreased by 20 bps, primarily due to lower volumes from certain existing clients during the three months ended June 30, 2026, compared to the three months ended June 30, 2025.</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cost of revenues in Healthcare and Life Sciences by $10.8 million for the three months ended June 30, 2026 was due to increases in employee-related costs of $9.3 million on account of higher headcount and wage inflation, higher technology costs of $1.9 million, and higher facilities and other operating costs of $1.7 million, partially offset by foreign exchange gain, net of hedging of $2.1 million. Gross margin in Healthcare and Life Sciences increased by 340 bps, primarily due to higher volumes from certain existing clients during the three months ended June 30, 2026, compared to the three months ended June 30, 2025.</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cost of revenues in Banking, Capital Markets and Diversified Industries by $11.9 million for the three months ended June 30, 2026 was due to increases in employee-related costs of $11.4 million on account of higher headcount and wage inflation, higher technology costs of $1.8 million, and higher facilities and other operating costs of $1.0 million, partially offset by foreign exchange gain, net of hedging of $2.3 million. Gross margin in Banking, Capital Markets and Diversified Industries decreased by 300 bps, primarily due to lower volumes from certain existing clients during the three months ended June 30, 2026, compared to the three months ended June 30, 2025.</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cost of revenues in International Growth Markets by $8.7 million for the three months ended June 30, 2026 was due to increases in employee-related costs of $8.6 million on account of higher headcount and wage inflation, and higher technology costs of $2.2 million and other operating costs $0.4 million, partially offset by a foreign exchange gain, net of hedging of $2.5 million. Gross margin in International Growth Markets remained flat during the three months ended June 30, 2026, compared to the three months ended June 30, 2025.</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i/>
          <w:color w:val="000000"/>
          <w:sz w:val="20"/>
        </w:rPr>
        <w:t xml:space="preserve">Selling, General and Administrative (“SG&amp;A”) Expenses. </w:t>
      </w:r>
      <w:r>
        <w:rPr>
          <w:rFonts w:ascii="Times New Roman;serif" w:hAnsi="Times New Roman;serif"/>
          <w:b w:val="false"/>
          <w:color w:val="000000"/>
          <w:sz w:val="20"/>
        </w:rPr>
        <w:t>SG&amp;A expenses as a percentage of net revenues increased from 19.2% during the three months ended June 30, 2025 to 20.9% during the three months ended June 30, 2026.</w:t>
      </w:r>
    </w:p>
    <w:p>
      <w:pPr>
        <w:pStyle w:val="TextBody"/>
        <w:bidi w:val="0"/>
        <w:spacing w:before="0" w:after="0"/>
        <w:jc w:val="center"/>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SG&amp;A expenses by $25.1 million during the three months ended June 30, 2026, compared to the three months ended June 30, 2025 was primarily due to increases in employee-related costs of $19.7 million on account of higher headcount and wage inflation, iMerit acquisition related expenses of $1.9 million, increased investments in digital and generative AI capabilities of $1.8 million, and higher sales and marketing and other operating costs of $1.7 million.</w:t>
      </w:r>
    </w:p>
    <w:p>
      <w:pPr>
        <w:pStyle w:val="TextBody"/>
        <w:bidi w:val="0"/>
        <w:spacing w:lineRule="auto" w:line="276" w:before="360" w:after="283"/>
        <w:ind w:left="0" w:right="0" w:firstLine="450"/>
        <w:jc w:val="both"/>
        <w:rPr/>
      </w:pPr>
      <w:r>
        <w:rPr>
          <w:rFonts w:ascii="Times New Roman;serif" w:hAnsi="Times New Roman;serif"/>
          <w:b/>
          <w:i/>
          <w:color w:val="000000"/>
          <w:sz w:val="20"/>
        </w:rPr>
        <w:t xml:space="preserve">Depreciation and Amortization. </w:t>
      </w:r>
      <w:r>
        <w:rPr>
          <w:rFonts w:ascii="Times New Roman;serif" w:hAnsi="Times New Roman;serif"/>
          <w:b w:val="false"/>
          <w:color w:val="000000"/>
          <w:sz w:val="20"/>
        </w:rPr>
        <w:t>Depreciation and amortization expenses as a percentage of net revenues decreased by 0.2% during the three months ended June 30, 2026, compared to the three months ended June 30, 2025.</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depreciation and amortization expense by 3.9% during the three months ended June 30, 2026, compared to the three months ended June 30, 2025 was primarily due to investments in infrastructure, technology assets and digital capabilities.</w:t>
      </w:r>
    </w:p>
    <w:p>
      <w:pPr>
        <w:pStyle w:val="TextBody"/>
        <w:bidi w:val="0"/>
        <w:spacing w:before="0" w:after="0"/>
        <w:ind w:left="0" w:right="0" w:firstLine="450"/>
        <w:jc w:val="both"/>
        <w:rPr/>
      </w:pPr>
      <w:r>
        <w:rPr/>
      </w:r>
    </w:p>
    <w:p>
      <w:pPr>
        <w:pStyle w:val="TextBody"/>
        <w:bidi w:val="0"/>
        <w:spacing w:lineRule="auto" w:line="268" w:before="120" w:after="283"/>
        <w:ind w:left="0" w:right="0" w:firstLine="450"/>
        <w:jc w:val="both"/>
        <w:rPr/>
      </w:pPr>
      <w:r>
        <w:rPr>
          <w:rFonts w:ascii="Times New Roman;serif" w:hAnsi="Times New Roman;serif"/>
          <w:b/>
          <w:i/>
          <w:color w:val="000000"/>
          <w:sz w:val="20"/>
        </w:rPr>
        <w:t>Income from Operations.</w:t>
      </w:r>
      <w:r>
        <w:rPr>
          <w:color w:val="000000"/>
        </w:rPr>
        <w:t xml:space="preserve"> </w:t>
      </w:r>
      <w:r>
        <w:rPr>
          <w:rFonts w:ascii="Times New Roman;serif" w:hAnsi="Times New Roman;serif"/>
          <w:b w:val="false"/>
          <w:color w:val="000000"/>
          <w:sz w:val="20"/>
        </w:rPr>
        <w:t>The increase in income from operations by 7.6% during the three months ended June 30, 2026, compared to the three months ended June 30, 2025 was primarily due to higher revenues and gross margins, partially offset by higher SG&amp;A expenses.</w:t>
      </w:r>
    </w:p>
    <w:p>
      <w:pPr>
        <w:pStyle w:val="TextBody"/>
        <w:bidi w:val="0"/>
        <w:spacing w:before="120" w:after="283"/>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i/>
          <w:color w:val="000000"/>
          <w:sz w:val="20"/>
        </w:rPr>
        <w:t xml:space="preserve">Foreign Exchange Gain, net. </w:t>
      </w:r>
      <w:r>
        <w:rPr>
          <w:rFonts w:ascii="Times New Roman;serif" w:hAnsi="Times New Roman;serif"/>
          <w:b w:val="false"/>
          <w:color w:val="000000"/>
          <w:sz w:val="20"/>
        </w:rPr>
        <w:t>We recorded a foreign exchange gain, net of $1.6 million for the three months ended June 30, 2026, compared to a foreign exchange gain, net of $2.2 million for the three months ended June 30, 2025. Foreign exchange gains and losses are primarily attributable to the movement of the U.S. dollar against the Indian rupee, the Philippine peso, the U.K. pound sterling and the South African rand during the three months ended June 30, 2026, compared to the three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pPr>
      <w:r>
        <w:rPr>
          <w:rFonts w:ascii="Times New Roman;serif" w:hAnsi="Times New Roman;serif"/>
          <w:b/>
          <w:i/>
          <w:color w:val="000000"/>
          <w:sz w:val="20"/>
        </w:rPr>
        <w:t>Interest expens</w:t>
      </w:r>
      <w:r>
        <w:rPr>
          <w:rFonts w:ascii="Times New Roman;serif" w:hAnsi="Times New Roman;serif"/>
          <w:b w:val="false"/>
          <w:color w:val="000000"/>
          <w:sz w:val="20"/>
        </w:rPr>
        <w:t>e. The increase in interest expense by $0.8 million during the three months ended June 30, 2026, compared to the three months ended June 30, 2025 was primarily due to a higher average borrowings.</w:t>
      </w:r>
    </w:p>
    <w:p>
      <w:pPr>
        <w:pStyle w:val="TextBody"/>
        <w:bidi w:val="0"/>
        <w:spacing w:lineRule="auto" w:line="288" w:before="240" w:after="283"/>
        <w:ind w:left="0" w:right="0" w:firstLine="495"/>
        <w:jc w:val="both"/>
        <w:rPr>
          <w:rFonts w:ascii="Times New Roman;serif" w:hAnsi="Times New Roman;serif"/>
          <w:b/>
          <w:i/>
          <w:color w:val="000000"/>
          <w:sz w:val="20"/>
        </w:rPr>
      </w:pPr>
      <w:r>
        <w:rPr>
          <w:rFonts w:ascii="Times New Roman;serif" w:hAnsi="Times New Roman;serif"/>
          <w:b/>
          <w:i/>
          <w:color w:val="000000"/>
          <w:sz w:val="20"/>
        </w:rPr>
        <w:t xml:space="preserve">Other Income, net. </w:t>
      </w:r>
    </w:p>
    <w:tbl>
      <w:tblPr>
        <w:tblW w:w="9950" w:type="dxa"/>
        <w:jc w:val="left"/>
        <w:tblInd w:w="0" w:type="dxa"/>
        <w:tblLayout w:type="fixed"/>
        <w:tblCellMar>
          <w:top w:w="28" w:type="dxa"/>
          <w:left w:w="28" w:type="dxa"/>
          <w:bottom w:w="28" w:type="dxa"/>
          <w:right w:w="28" w:type="dxa"/>
        </w:tblCellMar>
      </w:tblPr>
      <w:tblGrid>
        <w:gridCol w:w="1755"/>
        <w:gridCol w:w="1539"/>
        <w:gridCol w:w="1551"/>
        <w:gridCol w:w="282"/>
        <w:gridCol w:w="544"/>
        <w:gridCol w:w="146"/>
        <w:gridCol w:w="146"/>
        <w:gridCol w:w="146"/>
        <w:gridCol w:w="146"/>
        <w:gridCol w:w="282"/>
        <w:gridCol w:w="544"/>
        <w:gridCol w:w="146"/>
        <w:gridCol w:w="109"/>
        <w:gridCol w:w="109"/>
        <w:gridCol w:w="109"/>
        <w:gridCol w:w="211"/>
        <w:gridCol w:w="481"/>
        <w:gridCol w:w="109"/>
        <w:gridCol w:w="109"/>
        <w:gridCol w:w="109"/>
        <w:gridCol w:w="109"/>
        <w:gridCol w:w="343"/>
        <w:gridCol w:w="347"/>
        <w:gridCol w:w="578"/>
      </w:tblGrid>
      <w:tr>
        <w:trPr/>
        <w:tc>
          <w:tcPr>
            <w:tcW w:w="1755"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Percentage</w:t>
              <w:br/>
              <w:t>change</w:t>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dividend income</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5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and fair value mark-to-market on investments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changes of contingent consideration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Others, net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w:t>
            </w:r>
          </w:p>
        </w:tc>
        <w:tc>
          <w:tcPr>
            <w:tcW w:w="5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income, net decreased by $5.6 million during the three months ended June 30, 2026, compared to the three months ended June 30, 2025 primarily due to changes in the fair value consideration related to our August 2024 acquisition of Incandescent Technologies, Inc. (“ITI Data”), lower yield on our investments and higher other expenses, net.</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pPr>
      <w:r>
        <w:rPr>
          <w:rFonts w:ascii="Times New Roman;serif" w:hAnsi="Times New Roman;serif"/>
          <w:b/>
          <w:i/>
          <w:color w:val="000000"/>
          <w:sz w:val="20"/>
        </w:rPr>
        <w:t>Income Tax Expense.</w:t>
      </w:r>
      <w:r>
        <w:rPr>
          <w:color w:val="000000"/>
        </w:rPr>
        <w:t xml:space="preserve"> </w:t>
      </w:r>
      <w:r>
        <w:rPr>
          <w:rFonts w:ascii="Times New Roman;serif" w:hAnsi="Times New Roman;serif"/>
          <w:b w:val="false"/>
          <w:color w:val="000000"/>
          <w:sz w:val="20"/>
        </w:rPr>
        <w:t>The effective tax rate for the three months ended June 30, 2026 was 23.1%, an increase from 21.9% for the three months ended June 30, 2025. We recorded income tax expense of $19.4 million and $18.6 million for the three months ended June 30, 2026 and 2025, respectively. The increase in income tax expense was primarily as a result of an increase in non-deductible expenses and lower excess tax benefits related to stock-based compensation, as compared to the three months ended June 30, 2025.</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pPr>
      <w:r>
        <w:rPr>
          <w:rFonts w:ascii="Times New Roman;serif" w:hAnsi="Times New Roman;serif"/>
          <w:b/>
          <w:i/>
          <w:color w:val="000000"/>
          <w:sz w:val="20"/>
        </w:rPr>
        <w:t>Net Income.</w:t>
      </w:r>
      <w:r>
        <w:rPr>
          <w:color w:val="000000"/>
        </w:rPr>
        <w:t xml:space="preserve"> </w:t>
      </w:r>
      <w:r>
        <w:rPr>
          <w:rFonts w:ascii="Times New Roman;serif" w:hAnsi="Times New Roman;serif"/>
          <w:b w:val="false"/>
          <w:color w:val="000000"/>
          <w:sz w:val="20"/>
        </w:rPr>
        <w:t>The decrease in net income by 2.3% during the three months ended June 30, 2026, compared to the three months ended June 30, 2025 was attributable to the aforementioned factors.</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68" w:before="36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6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six months ended June 30, 2026 and 2025:</w:t>
      </w:r>
    </w:p>
    <w:p>
      <w:pPr>
        <w:pStyle w:val="TextBody"/>
        <w:bidi w:val="0"/>
        <w:spacing w:before="0" w:after="0"/>
        <w:ind w:left="0" w:right="0" w:firstLine="450"/>
        <w:jc w:val="both"/>
        <w:rPr/>
      </w:pPr>
      <w:r>
        <w:rPr/>
      </w:r>
    </w:p>
    <w:tbl>
      <w:tblPr>
        <w:tblW w:w="10205" w:type="dxa"/>
        <w:jc w:val="left"/>
        <w:tblInd w:w="0" w:type="dxa"/>
        <w:tblLayout w:type="fixed"/>
        <w:tblCellMar>
          <w:top w:w="28" w:type="dxa"/>
          <w:left w:w="28" w:type="dxa"/>
          <w:bottom w:w="28" w:type="dxa"/>
          <w:right w:w="28" w:type="dxa"/>
        </w:tblCellMar>
      </w:tblPr>
      <w:tblGrid>
        <w:gridCol w:w="779"/>
        <w:gridCol w:w="456"/>
        <w:gridCol w:w="423"/>
        <w:gridCol w:w="229"/>
        <w:gridCol w:w="835"/>
        <w:gridCol w:w="118"/>
        <w:gridCol w:w="109"/>
        <w:gridCol w:w="109"/>
        <w:gridCol w:w="109"/>
        <w:gridCol w:w="425"/>
        <w:gridCol w:w="210"/>
        <w:gridCol w:w="583"/>
        <w:gridCol w:w="109"/>
        <w:gridCol w:w="109"/>
        <w:gridCol w:w="109"/>
        <w:gridCol w:w="229"/>
        <w:gridCol w:w="835"/>
        <w:gridCol w:w="118"/>
        <w:gridCol w:w="109"/>
        <w:gridCol w:w="109"/>
        <w:gridCol w:w="109"/>
        <w:gridCol w:w="425"/>
        <w:gridCol w:w="210"/>
        <w:gridCol w:w="583"/>
        <w:gridCol w:w="109"/>
        <w:gridCol w:w="109"/>
        <w:gridCol w:w="109"/>
        <w:gridCol w:w="214"/>
        <w:gridCol w:w="627"/>
        <w:gridCol w:w="110"/>
        <w:gridCol w:w="109"/>
        <w:gridCol w:w="109"/>
        <w:gridCol w:w="109"/>
        <w:gridCol w:w="300"/>
        <w:gridCol w:w="231"/>
        <w:gridCol w:w="630"/>
      </w:tblGrid>
      <w:tr>
        <w:trPr/>
        <w:tc>
          <w:tcPr>
            <w:tcW w:w="77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Percentage of Revenues,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Percentage of Revenues,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Dollar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Percentage Change</w:t>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Revenues, net</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1,165.1 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100.0 </w:t>
            </w:r>
          </w:p>
        </w:tc>
        <w:tc>
          <w:tcPr>
            <w:tcW w:w="5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1,015.5 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100.0 </w:t>
            </w:r>
          </w:p>
        </w:tc>
        <w:tc>
          <w:tcPr>
            <w:tcW w:w="5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149.6 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14.7 </w:t>
            </w:r>
          </w:p>
        </w:tc>
        <w:tc>
          <w:tcPr>
            <w:tcW w:w="6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Cost of revenues </w:t>
            </w:r>
            <w:r>
              <w:rPr>
                <w:rFonts w:ascii="Times New Roman;serif" w:hAnsi="Times New Roman;serif"/>
                <w:b w:val="false"/>
                <w:color w:val="000000"/>
                <w:sz w:val="12"/>
              </w:rPr>
              <w:t>(1)</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717.1 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61.5 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628.0 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61.8 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14.2 </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9"/>
              </w:rPr>
              <w:t xml:space="preserve">Gross profit </w:t>
            </w:r>
            <w:r>
              <w:rPr>
                <w:rFonts w:ascii="Times New Roman;serif" w:hAnsi="Times New Roman;serif"/>
                <w:b/>
                <w:color w:val="000000"/>
                <w:sz w:val="12"/>
              </w:rPr>
              <w:t>(1)</w:t>
            </w:r>
          </w:p>
        </w:tc>
        <w:tc>
          <w:tcPr>
            <w:tcW w:w="10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448.0</w:t>
            </w: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38.5</w:t>
            </w:r>
            <w:r>
              <w:rPr>
                <w:color w:val="000000"/>
              </w:rPr>
              <w:t> </w:t>
            </w:r>
          </w:p>
        </w:tc>
        <w:tc>
          <w:tcPr>
            <w:tcW w:w="5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387.5</w:t>
            </w: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38.2</w:t>
            </w:r>
            <w:r>
              <w:rPr>
                <w:color w:val="000000"/>
              </w:rPr>
              <w:t> </w:t>
            </w:r>
          </w:p>
        </w:tc>
        <w:tc>
          <w:tcPr>
            <w:tcW w:w="5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60.5</w:t>
            </w: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15.6</w:t>
            </w:r>
            <w:r>
              <w:rPr>
                <w:color w:val="000000"/>
              </w:rPr>
              <w:t> </w:t>
            </w:r>
          </w:p>
        </w:tc>
        <w:tc>
          <w:tcPr>
            <w:tcW w:w="6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expenses:</w:t>
            </w:r>
          </w:p>
        </w:tc>
        <w:tc>
          <w:tcPr>
            <w:tcW w:w="11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General and administrative expenses</w:t>
            </w:r>
          </w:p>
        </w:tc>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12.3 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119.0 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20.6 </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Selling and marketing expenses</w:t>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8.3 </w:t>
            </w:r>
          </w:p>
        </w:tc>
        <w:tc>
          <w:tcPr>
            <w:tcW w:w="5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81.4 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8.0 </w:t>
            </w:r>
          </w:p>
        </w:tc>
        <w:tc>
          <w:tcPr>
            <w:tcW w:w="5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19.0 </w:t>
            </w:r>
          </w:p>
        </w:tc>
        <w:tc>
          <w:tcPr>
            <w:tcW w:w="6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 expense</w:t>
            </w:r>
          </w:p>
        </w:tc>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3.6 </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658"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operating expenses</w:t>
            </w:r>
          </w:p>
        </w:tc>
        <w:tc>
          <w:tcPr>
            <w:tcW w:w="10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268.9 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23.1 </w:t>
            </w:r>
          </w:p>
        </w:tc>
        <w:tc>
          <w:tcPr>
            <w:tcW w:w="5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228.0 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22.4 </w:t>
            </w:r>
          </w:p>
        </w:tc>
        <w:tc>
          <w:tcPr>
            <w:tcW w:w="5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40.9 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18.0 </w:t>
            </w:r>
          </w:p>
        </w:tc>
        <w:tc>
          <w:tcPr>
            <w:tcW w:w="6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Income from operations</w:t>
            </w:r>
          </w:p>
        </w:tc>
        <w:tc>
          <w:tcPr>
            <w:tcW w:w="10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179.1</w:t>
            </w: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15.4</w:t>
            </w:r>
            <w:r>
              <w:rPr>
                <w:color w:val="000000"/>
              </w:rPr>
              <w:t> </w:t>
            </w:r>
          </w:p>
        </w:tc>
        <w:tc>
          <w:tcPr>
            <w:tcW w:w="5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159.5</w:t>
            </w: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15.7</w:t>
            </w:r>
            <w:r>
              <w:rPr>
                <w:color w:val="000000"/>
              </w:rPr>
              <w:t> </w:t>
            </w:r>
          </w:p>
        </w:tc>
        <w:tc>
          <w:tcPr>
            <w:tcW w:w="5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19.6</w:t>
            </w: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12.3</w:t>
            </w:r>
            <w:r>
              <w:rPr>
                <w:color w:val="000000"/>
              </w:rPr>
              <w:t> </w:t>
            </w:r>
          </w:p>
        </w:tc>
        <w:tc>
          <w:tcPr>
            <w:tcW w:w="6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Foreign exchange gain, net</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0.3 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(19.4)</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(0.8)</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(0.8)</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7.0 </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income, net</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(75.7)</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658"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Income before income tax expense and earnings from equity affiliates</w:t>
            </w:r>
          </w:p>
        </w:tc>
        <w:tc>
          <w:tcPr>
            <w:tcW w:w="10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175.3</w:t>
            </w: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15.1</w:t>
            </w:r>
            <w:r>
              <w:rPr>
                <w:color w:val="000000"/>
              </w:rPr>
              <w:t> </w:t>
            </w:r>
          </w:p>
        </w:tc>
        <w:tc>
          <w:tcPr>
            <w:tcW w:w="5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164.9</w:t>
            </w: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16.2</w:t>
            </w:r>
            <w:r>
              <w:rPr>
                <w:color w:val="000000"/>
              </w:rPr>
              <w:t> </w:t>
            </w:r>
          </w:p>
        </w:tc>
        <w:tc>
          <w:tcPr>
            <w:tcW w:w="5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10.4</w:t>
            </w: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6.3</w:t>
            </w:r>
            <w:r>
              <w:rPr>
                <w:color w:val="000000"/>
              </w:rPr>
              <w:t> </w:t>
            </w:r>
          </w:p>
        </w:tc>
        <w:tc>
          <w:tcPr>
            <w:tcW w:w="6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 expense</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36.5 </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Income before earnings from equity affiliates</w:t>
            </w:r>
          </w:p>
        </w:tc>
        <w:tc>
          <w:tcPr>
            <w:tcW w:w="10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131.6</w:t>
            </w: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11.3</w:t>
            </w:r>
            <w:r>
              <w:rPr>
                <w:color w:val="000000"/>
              </w:rPr>
              <w:t> </w:t>
            </w:r>
          </w:p>
        </w:tc>
        <w:tc>
          <w:tcPr>
            <w:tcW w:w="5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132.9</w:t>
            </w: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13.1</w:t>
            </w:r>
            <w:r>
              <w:rPr>
                <w:color w:val="000000"/>
              </w:rPr>
              <w:t> </w:t>
            </w:r>
          </w:p>
        </w:tc>
        <w:tc>
          <w:tcPr>
            <w:tcW w:w="5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(1.3)</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(0.9)</w:t>
            </w:r>
          </w:p>
        </w:tc>
        <w:tc>
          <w:tcPr>
            <w:tcW w:w="6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Loss from equity-method investment</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(87.6)</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income</w:t>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131.6</w:t>
            </w:r>
            <w:r>
              <w:rPr>
                <w:color w:val="000000"/>
              </w:rPr>
              <w:t>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11.3</w:t>
            </w:r>
            <w:r>
              <w:rPr>
                <w:color w:val="000000"/>
              </w:rPr>
              <w:t> </w:t>
            </w:r>
          </w:p>
        </w:tc>
        <w:tc>
          <w:tcPr>
            <w:tcW w:w="5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132.6</w:t>
            </w:r>
            <w:r>
              <w:rPr>
                <w:color w:val="000000"/>
              </w:rPr>
              <w:t>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13.1</w:t>
            </w:r>
            <w:r>
              <w:rPr>
                <w:color w:val="000000"/>
              </w:rPr>
              <w:t> </w:t>
            </w:r>
          </w:p>
        </w:tc>
        <w:tc>
          <w:tcPr>
            <w:tcW w:w="5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(1.0)</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(0.8)</w:t>
            </w:r>
          </w:p>
        </w:tc>
        <w:tc>
          <w:tcPr>
            <w:tcW w:w="6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i/>
          <w:color w:val="000000"/>
          <w:sz w:val="18"/>
        </w:rPr>
      </w:pPr>
      <w:r>
        <w:rPr>
          <w:rFonts w:ascii="Times New Roman;serif" w:hAnsi="Times New Roman;serif"/>
          <w:b w:val="false"/>
          <w:i/>
          <w:color w:val="000000"/>
          <w:sz w:val="18"/>
        </w:rPr>
        <w:t>(1) Exclusive of depreciation and amortization expense.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i/>
          <w:color w:val="000000"/>
          <w:sz w:val="18"/>
        </w:rPr>
      </w:pPr>
      <w:r>
        <w:rPr>
          <w:rFonts w:ascii="Times New Roman;serif" w:hAnsi="Times New Roman;serif"/>
          <w:b w:val="false"/>
          <w:i/>
          <w:color w:val="000000"/>
          <w:sz w:val="18"/>
        </w:rPr>
        <w:t>Due to rounding, the numbers presented in the tables included in this Part I, Item 2, “Management’s Discussion and Analysis of Financial Condition and Results of Operations” may not add up precisely to the totals provided.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Six Months Ended June 30, 2026 Compared to Six Months Ended June 30, 2025</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erif" w:hAnsi="Times New Roman;serif"/>
          <w:b/>
          <w:i/>
          <w:color w:val="000000"/>
          <w:sz w:val="20"/>
        </w:rPr>
        <w:t xml:space="preserve">Revenues, net: </w:t>
      </w:r>
      <w:r>
        <w:rPr>
          <w:rFonts w:ascii="Times New Roman;serif" w:hAnsi="Times New Roman;serif"/>
          <w:b w:val="false"/>
          <w:color w:val="000000"/>
          <w:sz w:val="20"/>
        </w:rPr>
        <w:t>The following table summarizes our revenues by reportable segments:</w:t>
      </w:r>
    </w:p>
    <w:tbl>
      <w:tblPr>
        <w:tblW w:w="10205" w:type="dxa"/>
        <w:jc w:val="left"/>
        <w:tblInd w:w="0" w:type="dxa"/>
        <w:tblLayout w:type="fixed"/>
        <w:tblCellMar>
          <w:top w:w="28" w:type="dxa"/>
          <w:left w:w="28" w:type="dxa"/>
          <w:bottom w:w="28" w:type="dxa"/>
          <w:right w:w="28" w:type="dxa"/>
        </w:tblCellMar>
      </w:tblPr>
      <w:tblGrid>
        <w:gridCol w:w="790"/>
        <w:gridCol w:w="574"/>
        <w:gridCol w:w="580"/>
        <w:gridCol w:w="211"/>
        <w:gridCol w:w="766"/>
        <w:gridCol w:w="109"/>
        <w:gridCol w:w="109"/>
        <w:gridCol w:w="109"/>
        <w:gridCol w:w="109"/>
        <w:gridCol w:w="211"/>
        <w:gridCol w:w="766"/>
        <w:gridCol w:w="109"/>
        <w:gridCol w:w="109"/>
        <w:gridCol w:w="109"/>
        <w:gridCol w:w="109"/>
        <w:gridCol w:w="221"/>
        <w:gridCol w:w="646"/>
        <w:gridCol w:w="114"/>
        <w:gridCol w:w="109"/>
        <w:gridCol w:w="109"/>
        <w:gridCol w:w="109"/>
        <w:gridCol w:w="255"/>
        <w:gridCol w:w="256"/>
        <w:gridCol w:w="508"/>
        <w:gridCol w:w="109"/>
        <w:gridCol w:w="109"/>
        <w:gridCol w:w="109"/>
        <w:gridCol w:w="386"/>
        <w:gridCol w:w="267"/>
        <w:gridCol w:w="436"/>
        <w:gridCol w:w="175"/>
        <w:gridCol w:w="175"/>
        <w:gridCol w:w="175"/>
        <w:gridCol w:w="386"/>
        <w:gridCol w:w="267"/>
        <w:gridCol w:w="514"/>
      </w:tblGrid>
      <w:tr>
        <w:trPr/>
        <w:tc>
          <w:tcPr>
            <w:tcW w:w="79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Dollar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Percentage of Total Revenues for the six months ended June 30,</w:t>
            </w:r>
          </w:p>
        </w:tc>
      </w:tr>
      <w:tr>
        <w:trPr/>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r>
      <w:tr>
        <w:trPr/>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Healthcare and Life Sciences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5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4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5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Banking, Capital Markets and Diversified Industries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Growth Markets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5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4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5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5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Revenues for the six months ended June 30, 2026 were up by $149.6 million, or 14.7%, compared to the six months ended June 30, 2025, driven by the expansion of business from our existing clients across all reportable segments by 12.4% and revenue from new clients wins by 2.3% during the six months ended June 30, 2026.</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 growth in Insurance by 13.8% was driven by the expansion of business from our existing clients by 12.6% and new clients by 1.2% during the six months ended June 30, 2026, compared to the six months ended June 30, 2025.</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 growth in Healthcare and Life Sciences by 21.5% was driven by the expansion of business from our existing clients by 20.8% and new clients by 0.7% during the six months ended June 30, 2026, compared to the six months ended June 30, 2025.</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 growth in Banking, Capital Markets and Diversified Industries by 9.4% was driven by the expansion of business from our existing clients by 4.7% and new clients by 4.7% during the six months ended June 30, 2026, compared to the six months ended June 30, 2025.</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 growth in International Growth Markets of 14.0% was driven by the expansion of business from our existing clients by 10.1%, new clients by 3.6% and a foreign exchange gain, net of hedging by 0.3% during the six months ended June 30, 2026, compared to the six months ended June 30, 2025.</w:t>
      </w:r>
    </w:p>
    <w:p>
      <w:pPr>
        <w:pStyle w:val="TextBody"/>
        <w:bidi w:val="0"/>
        <w:spacing w:before="0" w:after="0"/>
        <w:ind w:left="0" w:right="0" w:firstLine="450"/>
        <w:jc w:val="both"/>
        <w:rPr/>
      </w:pPr>
      <w:r>
        <w:rPr/>
      </w:r>
    </w:p>
    <w:p>
      <w:pPr>
        <w:pStyle w:val="TextBody"/>
        <w:bidi w:val="0"/>
        <w:spacing w:lineRule="auto" w:line="288" w:before="0" w:after="0"/>
        <w:ind w:left="0" w:right="0" w:firstLine="480"/>
        <w:jc w:val="both"/>
        <w:rPr/>
      </w:pPr>
      <w:r>
        <w:rPr>
          <w:rFonts w:ascii="Times New Roman;serif" w:hAnsi="Times New Roman;serif"/>
          <w:b/>
          <w:i/>
          <w:color w:val="000000"/>
          <w:sz w:val="20"/>
        </w:rPr>
        <w:t>Cost of Revenues and Gross Margin</w:t>
      </w:r>
      <w:r>
        <w:rPr>
          <w:rFonts w:ascii="Times New Roman;serif" w:hAnsi="Times New Roman;serif"/>
          <w:b/>
          <w:color w:val="000000"/>
          <w:sz w:val="20"/>
        </w:rPr>
        <w:t xml:space="preserve">: </w:t>
      </w:r>
      <w:r>
        <w:rPr>
          <w:rFonts w:ascii="Times New Roman;serif" w:hAnsi="Times New Roman;serif"/>
          <w:b w:val="false"/>
          <w:color w:val="000000"/>
          <w:sz w:val="20"/>
        </w:rPr>
        <w:t>The following table sets forth cost of revenues and gross margin of our reportable segments:</w:t>
      </w:r>
    </w:p>
    <w:tbl>
      <w:tblPr>
        <w:tblW w:w="10205" w:type="dxa"/>
        <w:jc w:val="left"/>
        <w:tblInd w:w="0" w:type="dxa"/>
        <w:tblLayout w:type="fixed"/>
        <w:tblCellMar>
          <w:top w:w="28" w:type="dxa"/>
          <w:left w:w="28" w:type="dxa"/>
          <w:bottom w:w="28" w:type="dxa"/>
          <w:right w:w="28" w:type="dxa"/>
        </w:tblCellMar>
      </w:tblPr>
      <w:tblGrid>
        <w:gridCol w:w="706"/>
        <w:gridCol w:w="488"/>
        <w:gridCol w:w="492"/>
        <w:gridCol w:w="211"/>
        <w:gridCol w:w="616"/>
        <w:gridCol w:w="109"/>
        <w:gridCol w:w="109"/>
        <w:gridCol w:w="109"/>
        <w:gridCol w:w="109"/>
        <w:gridCol w:w="211"/>
        <w:gridCol w:w="616"/>
        <w:gridCol w:w="109"/>
        <w:gridCol w:w="109"/>
        <w:gridCol w:w="109"/>
        <w:gridCol w:w="109"/>
        <w:gridCol w:w="222"/>
        <w:gridCol w:w="539"/>
        <w:gridCol w:w="115"/>
        <w:gridCol w:w="109"/>
        <w:gridCol w:w="109"/>
        <w:gridCol w:w="109"/>
        <w:gridCol w:w="310"/>
        <w:gridCol w:w="223"/>
        <w:gridCol w:w="557"/>
        <w:gridCol w:w="109"/>
        <w:gridCol w:w="109"/>
        <w:gridCol w:w="109"/>
        <w:gridCol w:w="255"/>
        <w:gridCol w:w="256"/>
        <w:gridCol w:w="294"/>
        <w:gridCol w:w="118"/>
        <w:gridCol w:w="118"/>
        <w:gridCol w:w="118"/>
        <w:gridCol w:w="255"/>
        <w:gridCol w:w="256"/>
        <w:gridCol w:w="294"/>
        <w:gridCol w:w="109"/>
        <w:gridCol w:w="109"/>
        <w:gridCol w:w="109"/>
        <w:gridCol w:w="238"/>
        <w:gridCol w:w="214"/>
        <w:gridCol w:w="630"/>
      </w:tblGrid>
      <w:tr>
        <w:trPr/>
        <w:tc>
          <w:tcPr>
            <w:tcW w:w="70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1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Cost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Gross Margin</w:t>
            </w:r>
          </w:p>
        </w:tc>
      </w:tr>
      <w:tr>
        <w:trPr/>
        <w:tc>
          <w:tcPr>
            <w:tcW w:w="1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Dollar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Percentage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Percentage change</w:t>
            </w:r>
          </w:p>
        </w:tc>
      </w:tr>
      <w:tr>
        <w:trPr/>
        <w:tc>
          <w:tcPr>
            <w:tcW w:w="1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Healthcare and Life Sciences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5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2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2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6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Banking, Capital Markets and Diversified Industries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Growth Markets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5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2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2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6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5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2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2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6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tbl>
      <w:tblPr>
        <w:tblW w:w="19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Cost of revenues for the six months ended June 30, 2026 increased by $89.1 million, or 14.2%, compared to the six months ended June 30, 2025. The increase in cost of revenues was due to increases in employee-related costs of $80.4 million on account of higher headcount and wage inflation, and higher technology costs of $14.5 million, and higher facilities and other 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costs of $7.2 million, partially offset by a foreign exchange gain, net of hedging of $13.0 million. Our gross margin for the six months ended June 30, 2026 was 38.5%, compared to 38.2% for the six months ended June 30, 2025, an increase of 30 bps, primarily driven by higher revenues and operational efficiencies, partially offset by lower volumes from certain existing clients.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cost of revenues in Insurance by $28.7 million for the six months ended June 30, 2026 was due to increases in employee-related costs of $26.8 million on account of higher headcount and wage inflation, higher technology costs of $4.3 million, and higher other operating costs of $1.0 million, partially offset by foreign exchange gain, net of hedging of $3.4 million. Gross margin in Insurance increased by 40 bps, primarily due to higher revenues and operational efficiencies during the six months ended June 30, 2026, compared to the six months ended June 30, 2025.</w:t>
      </w:r>
    </w:p>
    <w:p>
      <w:pPr>
        <w:pStyle w:val="TextBody"/>
        <w:bidi w:val="0"/>
        <w:spacing w:before="0" w:after="0"/>
        <w:ind w:left="0" w:right="0" w:firstLine="45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cost of revenues in Healthcare and Life Sciences by $23.4 million for the six months ended June 30, 2026 was due to increases in employee-related costs of $18.6 million on account of higher headcount and wage inflation, higher technology costs of $3.5 million, and higher facilities and other operating costs of $4.5 million, partially offset by foreign exchange gain, net of hedging of $3.2 million. Gross margin in Healthcare and Life Sciences increased by 240 bps, primarily due to higher volumes from certain existing clients during the six months ended June 30, 2026, compared to the six months ended June 30, 2025.</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cost of revenues in Banking, Capital Markets and Diversified Industries by $18.6 million for the six months ended June 30, 2026 was due to increases in employee-related costs of $18.3 million on account of higher headcount and wage inflation, higher technology costs of $2.8 million, and higher facilities and other operating costs of $0.8 million, partially offset by a foreign exchange gain, net of hedging of $3.3 million. Gross margin in Banking, Capital Markets and Diversified Industries decreased by 180 bps, primarily due to lower volumes from certain existing clients during the six months ended June 30, 2026, compared to the six months ended June 30, 2025.</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cost of revenues in International Growth Markets by $18.4 million for the six months ended June 30, 2026 was due to increases in employee-related costs of $16.7 million on account of higher headcount and wage inflation, higher technology costs of $3.9 million, and higher facilities and other operating costs of $0.9 million, partially offset by a foreign exchange gain, net of hedging of $3.1 million. Gross margin in International Growth Markets decreased by 130 bps, primarily due to lower volumes from certain existing clients during the six months ended June 30, 2026, compared to the six months ended June 30, 2025.</w:t>
      </w:r>
    </w:p>
    <w:p>
      <w:pPr>
        <w:pStyle w:val="TextBody"/>
        <w:bidi w:val="0"/>
        <w:spacing w:before="0" w:after="0"/>
        <w:ind w:left="0" w:right="0" w:firstLine="460"/>
        <w:jc w:val="both"/>
        <w:rPr/>
      </w:pPr>
      <w:r>
        <w:rPr/>
      </w:r>
    </w:p>
    <w:p>
      <w:pPr>
        <w:pStyle w:val="TextBody"/>
        <w:bidi w:val="0"/>
        <w:spacing w:lineRule="auto" w:line="288" w:before="0" w:after="0"/>
        <w:ind w:left="0" w:right="0" w:firstLine="450"/>
        <w:jc w:val="both"/>
        <w:rPr/>
      </w:pPr>
      <w:r>
        <w:rPr>
          <w:rFonts w:ascii="Times New Roman;serif" w:hAnsi="Times New Roman;serif"/>
          <w:b/>
          <w:i/>
          <w:color w:val="000000"/>
          <w:sz w:val="20"/>
        </w:rPr>
        <w:t xml:space="preserve">Selling, General and Administrative (“SG&amp;A”) Expenses. </w:t>
      </w:r>
      <w:r>
        <w:rPr>
          <w:rFonts w:ascii="Times New Roman;serif" w:hAnsi="Times New Roman;serif"/>
          <w:b w:val="false"/>
          <w:color w:val="000000"/>
          <w:sz w:val="20"/>
        </w:rPr>
        <w:t>SG&amp;A expenses as a percentage of net revenues increased from 19.7% during the six months ended June 30, 2025 to 20.6% during the six months ended June 30, 2026.</w:t>
      </w:r>
    </w:p>
    <w:p>
      <w:pPr>
        <w:pStyle w:val="TextBody"/>
        <w:bidi w:val="0"/>
        <w:spacing w:before="0" w:after="0"/>
        <w:jc w:val="center"/>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SG&amp;A expenses by $39.9 million during the six months ended June 30, 2026, compared to the six months ended June 30, 2025 was primarily due to increases in employee-related costs of $31.7 million on account of higher headcount and wage inflation, increased investments in digital and generative AI capabilities of $3.7 million, higher sales and marketing costs of $2.0 million, iMerit acquisition related expenses of $1.9 million, and other operating costs of $0.6 million.</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pPr>
      <w:r>
        <w:rPr>
          <w:rFonts w:ascii="Times New Roman;serif" w:hAnsi="Times New Roman;serif"/>
          <w:b/>
          <w:i/>
          <w:color w:val="000000"/>
          <w:sz w:val="20"/>
        </w:rPr>
        <w:t xml:space="preserve">Depreciation and Amortization. </w:t>
      </w:r>
      <w:r>
        <w:rPr>
          <w:rFonts w:ascii="Times New Roman;serif" w:hAnsi="Times New Roman;serif"/>
          <w:b w:val="false"/>
          <w:color w:val="000000"/>
          <w:sz w:val="20"/>
        </w:rPr>
        <w:t>Depreciation and amortization expenses as a percentage of net revenues decreased by 0.2% during the six months ended June 30, 2026, compared to the six months ended June 30, 2025.</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depreciation and amortization expense by 3.6% during the six months ended June 30, 2026, compared to the six months ended June 30, 2025 was primarily due to investments in infrastructure, technology assets and digital capabilities.</w:t>
      </w:r>
    </w:p>
    <w:p>
      <w:pPr>
        <w:pStyle w:val="TextBody"/>
        <w:bidi w:val="0"/>
        <w:spacing w:before="0" w:after="0"/>
        <w:ind w:left="0" w:right="0" w:firstLine="460"/>
        <w:jc w:val="both"/>
        <w:rPr/>
      </w:pPr>
      <w:r>
        <w:rPr/>
      </w:r>
    </w:p>
    <w:p>
      <w:pPr>
        <w:pStyle w:val="TextBody"/>
        <w:bidi w:val="0"/>
        <w:spacing w:lineRule="auto" w:line="288" w:before="0" w:after="0"/>
        <w:ind w:left="0" w:right="0" w:firstLine="460"/>
        <w:jc w:val="both"/>
        <w:rPr/>
      </w:pPr>
      <w:r>
        <w:rPr>
          <w:rFonts w:ascii="Times New Roman;serif" w:hAnsi="Times New Roman;serif"/>
          <w:b/>
          <w:i/>
          <w:color w:val="000000"/>
          <w:sz w:val="20"/>
        </w:rPr>
        <w:t>Income from Operations.</w:t>
      </w:r>
      <w:r>
        <w:rPr>
          <w:color w:val="000000"/>
        </w:rPr>
        <w:t xml:space="preserve"> </w:t>
      </w:r>
      <w:r>
        <w:rPr>
          <w:rFonts w:ascii="Times New Roman;serif" w:hAnsi="Times New Roman;serif"/>
          <w:b w:val="false"/>
          <w:color w:val="000000"/>
          <w:sz w:val="20"/>
        </w:rPr>
        <w:t>The increase in income from operations by 12.3% during the six months ended June 30, 2026, compared to the six months ended June 30, 2025 was primarily due to higher revenues and gross margins, partially offset by higher SG&amp;A expenses.</w:t>
      </w:r>
    </w:p>
    <w:p>
      <w:pPr>
        <w:pStyle w:val="TextBody"/>
        <w:bidi w:val="0"/>
        <w:spacing w:before="0" w:after="0"/>
        <w:ind w:left="0" w:right="0" w:firstLine="460"/>
        <w:jc w:val="both"/>
        <w:rPr/>
      </w:pPr>
      <w:r>
        <w:rPr/>
      </w:r>
    </w:p>
    <w:p>
      <w:pPr>
        <w:pStyle w:val="TextBody"/>
        <w:bidi w:val="0"/>
        <w:spacing w:lineRule="auto" w:line="288" w:before="0" w:after="0"/>
        <w:ind w:left="0" w:right="0" w:firstLine="450"/>
        <w:jc w:val="both"/>
        <w:rPr/>
      </w:pPr>
      <w:r>
        <w:rPr>
          <w:rFonts w:ascii="Times New Roman;serif" w:hAnsi="Times New Roman;serif"/>
          <w:b/>
          <w:i/>
          <w:color w:val="000000"/>
          <w:sz w:val="20"/>
        </w:rPr>
        <w:t xml:space="preserve">Foreign Exchange Gain, net. </w:t>
      </w:r>
      <w:r>
        <w:rPr>
          <w:rFonts w:ascii="Times New Roman;serif" w:hAnsi="Times New Roman;serif"/>
          <w:b w:val="false"/>
          <w:color w:val="000000"/>
          <w:sz w:val="20"/>
        </w:rPr>
        <w:t>We recorded a foreign exchange gain, net of $2.7 million for the six months ended June 30, 2026, compared to a foreign exchange gain, net of $3.4 million for the six months ended June 30, 2025. Foreign exchange gains and losses are primarily attributable to the movement of the U.S. dollar against the Indian rupee, the Philippine peso, the U.K. pound sterling and the South African rand during the six months ended June 30, 2026, compared to the six months ended June 30, 2025.</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76" w:before="0" w:after="0"/>
        <w:ind w:left="0" w:right="0" w:firstLine="450"/>
        <w:jc w:val="both"/>
        <w:rPr/>
      </w:pPr>
      <w:r>
        <w:rPr>
          <w:rFonts w:ascii="Times New Roman;serif" w:hAnsi="Times New Roman;serif"/>
          <w:b/>
          <w:i/>
          <w:color w:val="000000"/>
          <w:sz w:val="20"/>
        </w:rPr>
        <w:t xml:space="preserve">Interest expense. </w:t>
      </w:r>
      <w:r>
        <w:rPr>
          <w:rFonts w:ascii="Times New Roman;serif" w:hAnsi="Times New Roman;serif"/>
          <w:b w:val="false"/>
          <w:color w:val="000000"/>
          <w:sz w:val="20"/>
        </w:rPr>
        <w:t>The increase in interest expense by $0.6 million during the six months ended June 30, 2026, compared to the six months ended June 30, 2025 was primarily due to higher average borrowings.</w:t>
      </w:r>
    </w:p>
    <w:p>
      <w:pPr>
        <w:pStyle w:val="TextBody"/>
        <w:bidi w:val="0"/>
        <w:spacing w:before="0" w:after="0"/>
        <w:ind w:left="0" w:right="0" w:firstLine="460"/>
        <w:jc w:val="both"/>
        <w:rPr/>
      </w:pPr>
      <w:r>
        <w:rPr/>
      </w:r>
    </w:p>
    <w:p>
      <w:pPr>
        <w:pStyle w:val="TextBody"/>
        <w:bidi w:val="0"/>
        <w:spacing w:lineRule="auto" w:line="276" w:before="0" w:after="0"/>
        <w:ind w:left="0" w:right="0" w:firstLine="480"/>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before="0" w:after="0"/>
        <w:ind w:left="0" w:right="0" w:firstLine="480"/>
        <w:jc w:val="both"/>
        <w:rPr/>
      </w:pPr>
      <w:r>
        <w:rPr/>
      </w:r>
    </w:p>
    <w:tbl>
      <w:tblPr>
        <w:tblW w:w="10083" w:type="dxa"/>
        <w:jc w:val="left"/>
        <w:tblInd w:w="0" w:type="dxa"/>
        <w:tblLayout w:type="fixed"/>
        <w:tblCellMar>
          <w:top w:w="28" w:type="dxa"/>
          <w:left w:w="28" w:type="dxa"/>
          <w:bottom w:w="28" w:type="dxa"/>
          <w:right w:w="28" w:type="dxa"/>
        </w:tblCellMar>
      </w:tblPr>
      <w:tblGrid>
        <w:gridCol w:w="1755"/>
        <w:gridCol w:w="1539"/>
        <w:gridCol w:w="1551"/>
        <w:gridCol w:w="243"/>
        <w:gridCol w:w="468"/>
        <w:gridCol w:w="125"/>
        <w:gridCol w:w="125"/>
        <w:gridCol w:w="125"/>
        <w:gridCol w:w="125"/>
        <w:gridCol w:w="243"/>
        <w:gridCol w:w="590"/>
        <w:gridCol w:w="125"/>
        <w:gridCol w:w="109"/>
        <w:gridCol w:w="109"/>
        <w:gridCol w:w="109"/>
        <w:gridCol w:w="211"/>
        <w:gridCol w:w="481"/>
        <w:gridCol w:w="109"/>
        <w:gridCol w:w="109"/>
        <w:gridCol w:w="109"/>
        <w:gridCol w:w="109"/>
        <w:gridCol w:w="345"/>
        <w:gridCol w:w="345"/>
        <w:gridCol w:w="924"/>
      </w:tblGrid>
      <w:tr>
        <w:trPr/>
        <w:tc>
          <w:tcPr>
            <w:tcW w:w="1755"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Percentage change</w:t>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dividend income</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9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and fair value mark-to-market on investments</w:t>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changes of contingent consideration</w:t>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Others, net</w:t>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w:t>
            </w:r>
          </w:p>
        </w:tc>
        <w:tc>
          <w:tcPr>
            <w:tcW w:w="9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48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income, net decreased by $7.9 million during the six months ended June 30, 2026, compared to the six months ended June 30, 2025 primarily due to changes in the fair value consideration related to our August 2024 acquisition of ITI Data, lower yield on our investments and higher other expenses, net.</w:t>
      </w:r>
    </w:p>
    <w:p>
      <w:pPr>
        <w:pStyle w:val="TextBody"/>
        <w:bidi w:val="0"/>
        <w:spacing w:before="0" w:after="0"/>
        <w:jc w:val="left"/>
        <w:rPr/>
      </w:pPr>
      <w:r>
        <w:rPr/>
      </w:r>
    </w:p>
    <w:p>
      <w:pPr>
        <w:pStyle w:val="TextBody"/>
        <w:bidi w:val="0"/>
        <w:spacing w:lineRule="auto" w:line="256" w:before="0" w:after="0"/>
        <w:ind w:left="0" w:right="0" w:firstLine="460"/>
        <w:jc w:val="both"/>
        <w:rPr/>
      </w:pPr>
      <w:r>
        <w:rPr>
          <w:rFonts w:ascii="Times New Roman;serif" w:hAnsi="Times New Roman;serif"/>
          <w:b/>
          <w:i/>
          <w:color w:val="000000"/>
          <w:sz w:val="20"/>
        </w:rPr>
        <w:t>Income Tax Expense.</w:t>
      </w:r>
      <w:r>
        <w:rPr>
          <w:color w:val="000000"/>
        </w:rPr>
        <w:t xml:space="preserve"> </w:t>
      </w:r>
      <w:r>
        <w:rPr>
          <w:rFonts w:ascii="Times New Roman;serif" w:hAnsi="Times New Roman;serif"/>
          <w:b w:val="false"/>
          <w:color w:val="000000"/>
          <w:sz w:val="20"/>
        </w:rPr>
        <w:t>The effective tax rate for the six months ended June 30, 2026 was 24.9%, an increase from 19.5% for the six months ended June 30, 2025. We recorded income tax expense of $43.7 million and $32.0 million for the six months ended June 30, 2026 and 2025, respectively. The increase in income tax expense was primarily as a result of higher profit and lower excess tax benefits related to stock-based compensation, partially offset by a decrease in non-deductible compensation expenses, as compared to the six months ended June 30, 2025.</w:t>
      </w:r>
    </w:p>
    <w:p>
      <w:pPr>
        <w:pStyle w:val="TextBody"/>
        <w:bidi w:val="0"/>
        <w:spacing w:before="0" w:after="0"/>
        <w:ind w:left="0" w:right="0" w:firstLine="460"/>
        <w:jc w:val="both"/>
        <w:rPr/>
      </w:pPr>
      <w:r>
        <w:rPr/>
      </w:r>
    </w:p>
    <w:p>
      <w:pPr>
        <w:pStyle w:val="TextBody"/>
        <w:bidi w:val="0"/>
        <w:spacing w:lineRule="auto" w:line="288" w:before="0" w:after="0"/>
        <w:ind w:left="0" w:right="0" w:firstLine="450"/>
        <w:jc w:val="both"/>
        <w:rPr/>
      </w:pPr>
      <w:r>
        <w:rPr>
          <w:rFonts w:ascii="Times New Roman;serif" w:hAnsi="Times New Roman;serif"/>
          <w:b/>
          <w:i/>
          <w:color w:val="000000"/>
          <w:sz w:val="20"/>
        </w:rPr>
        <w:t xml:space="preserve">Net Income. </w:t>
      </w:r>
      <w:r>
        <w:rPr>
          <w:rFonts w:ascii="Times New Roman;serif" w:hAnsi="Times New Roman;serif"/>
          <w:b w:val="false"/>
          <w:color w:val="000000"/>
          <w:sz w:val="20"/>
        </w:rPr>
        <w:t>The decrease in net income by 0.8% during the six months ended June 30, 2026, compared to the six months ended June 30, 2025 was attributable to the aforementioned factors.</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pPr>
      <w:r>
        <w:rPr>
          <w:rFonts w:ascii="Times New Roman;serif" w:hAnsi="Times New Roman;serif"/>
          <w:b/>
          <w:i/>
          <w:color w:val="000000"/>
          <w:sz w:val="20"/>
        </w:rPr>
        <w:t>Liquidity</w:t>
      </w:r>
      <w:r>
        <w:rPr>
          <w:color w:val="000000"/>
        </w:rPr>
        <w:t xml:space="preserve"> </w:t>
      </w:r>
      <w:r>
        <w:rPr>
          <w:rFonts w:ascii="Times New Roman;serif" w:hAnsi="Times New Roman;serif"/>
          <w:b/>
          <w:i/>
          <w:color w:val="000000"/>
          <w:sz w:val="20"/>
        </w:rPr>
        <w:t>and Capital Resources</w:t>
      </w:r>
    </w:p>
    <w:tbl>
      <w:tblPr>
        <w:tblW w:w="9946" w:type="dxa"/>
        <w:jc w:val="left"/>
        <w:tblInd w:w="0" w:type="dxa"/>
        <w:tblLayout w:type="fixed"/>
        <w:tblCellMar>
          <w:top w:w="28" w:type="dxa"/>
          <w:left w:w="28" w:type="dxa"/>
          <w:bottom w:w="28" w:type="dxa"/>
          <w:right w:w="28" w:type="dxa"/>
        </w:tblCellMar>
      </w:tblPr>
      <w:tblGrid>
        <w:gridCol w:w="1526"/>
        <w:gridCol w:w="1340"/>
        <w:gridCol w:w="1348"/>
        <w:gridCol w:w="211"/>
        <w:gridCol w:w="616"/>
        <w:gridCol w:w="109"/>
        <w:gridCol w:w="109"/>
        <w:gridCol w:w="109"/>
        <w:gridCol w:w="109"/>
        <w:gridCol w:w="211"/>
        <w:gridCol w:w="616"/>
        <w:gridCol w:w="109"/>
        <w:gridCol w:w="109"/>
        <w:gridCol w:w="109"/>
        <w:gridCol w:w="109"/>
        <w:gridCol w:w="286"/>
        <w:gridCol w:w="796"/>
        <w:gridCol w:w="148"/>
        <w:gridCol w:w="109"/>
        <w:gridCol w:w="109"/>
        <w:gridCol w:w="109"/>
        <w:gridCol w:w="345"/>
        <w:gridCol w:w="345"/>
        <w:gridCol w:w="959"/>
      </w:tblGrid>
      <w:tr>
        <w:trPr/>
        <w:tc>
          <w:tcPr>
            <w:tcW w:w="1526"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Percentage Change</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Opening cash, cash equivalents and restricted 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9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investing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financing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Closing cash, cash equivalents and restricted cash</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9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450"/>
        <w:jc w:val="both"/>
        <w:rPr>
          <w:color w:val="000000"/>
        </w:rPr>
      </w:pPr>
      <w:r>
        <w:rPr>
          <w:color w:val="000000"/>
        </w:rPr>
        <w:t>    </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we had $283.8 million and $328.4 million, respectively, in cash, cash equivalents and short-term investments, of which $249.3 million and $285.8 million, respectively, is located in foreign jurisdictions that upon distribution may be subject to withholding and other taxes. We periodically evaluate opportunities to distribute cash among our group entities to fund our operations, expand our business and make strategic acquisitions in the United States and other geographies. As and when we decide to distribute, we may have to accrue additional taxes in accordance with local tax laws, rules and regulations in the relevant foreign jurisdictions. During the six months ended June 30, 2026, some of our foreign subsidiaries repatriated $13.0 million to the United States.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pPr>
      <w:r>
        <w:rPr>
          <w:rFonts w:ascii="Times New Roman;serif" w:hAnsi="Times New Roman;serif"/>
          <w:b w:val="false"/>
          <w:i/>
          <w:color w:val="000000"/>
          <w:sz w:val="20"/>
        </w:rPr>
        <w:t>Operating Activities:</w:t>
      </w:r>
      <w:r>
        <w:rPr>
          <w:color w:val="000000"/>
        </w:rPr>
        <w:t xml:space="preserve"> </w:t>
      </w:r>
      <w:r>
        <w:rPr>
          <w:rFonts w:ascii="Times New Roman;serif" w:hAnsi="Times New Roman;serif"/>
          <w:b w:val="false"/>
          <w:color w:val="000000"/>
          <w:sz w:val="20"/>
        </w:rPr>
        <w:t xml:space="preserve">Net cash provided by operating activities was $89.6 million during the six months ended June 30, 2026, compared to $112.6 million during the six months ended June 30, 2025, reflecting higher working capital needs, partially offset by higher cash earnings. The major drivers contributing to the decrease of $23.0 million year-over-year included the following: </w:t>
      </w:r>
    </w:p>
    <w:p>
      <w:pPr>
        <w:pStyle w:val="TextBody"/>
        <w:bidi w:val="0"/>
        <w:spacing w:before="0" w:after="0"/>
        <w:ind w:left="0" w:right="0" w:firstLine="45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Changes in accounts receivable, including advance billings, contributed lower cash flow of $50.1 million during the six months ended June 30, 2026, compared to the six months ended June 30, 2025. Our days sales outstanding were 69 days as of June 30, 2026, compared to 64 days as of June 30, 2025.</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Increase in cash earnings, including adjustments for non-cash and other items contributed higher cash flow of $16.0 million during the six months ended June 30, 2026, compared to the six months ended June 30, 2025. These adjustments include unrealized foreign currency exchange (gain)/loss, net, fair value mark-to-market on investments, stock-based employee compensation, depreciation and amortization of long-lived assets and intangibles acquired in business combinations, among others.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Changes in other assets, accounts payables including other liabilities contributed to a lower cash payout of $11.1 million during the six months ended June 30, 2026, compared to the six months ended June 30, 2025.</w:t>
      </w:r>
    </w:p>
    <w:p>
      <w:pPr>
        <w:pStyle w:val="TextBody"/>
        <w:bidi w:val="0"/>
        <w:spacing w:before="0" w:after="0"/>
        <w:jc w:val="both"/>
        <w:rPr/>
      </w:pPr>
      <w:r>
        <w:rPr/>
      </w:r>
    </w:p>
    <w:p>
      <w:pPr>
        <w:pStyle w:val="TextBody"/>
        <w:bidi w:val="0"/>
        <w:spacing w:lineRule="auto" w:line="268" w:before="0" w:after="0"/>
        <w:ind w:left="0" w:right="0" w:firstLine="450"/>
        <w:jc w:val="both"/>
        <w:rPr/>
      </w:pPr>
      <w:r>
        <w:rPr>
          <w:rFonts w:ascii="Times New Roman;serif" w:hAnsi="Times New Roman;serif"/>
          <w:b w:val="false"/>
          <w:i/>
          <w:color w:val="000000"/>
          <w:sz w:val="20"/>
        </w:rPr>
        <w:t xml:space="preserve">Investing Activities: </w:t>
      </w:r>
      <w:r>
        <w:rPr>
          <w:rFonts w:ascii="Times New Roman;serif" w:hAnsi="Times New Roman;serif"/>
          <w:b w:val="false"/>
          <w:color w:val="000000"/>
          <w:sz w:val="20"/>
        </w:rPr>
        <w:t>Net cash used for investing activities were $6.2 million during the six months ended June 30, 2026, compared to net cash used of $36.3 million for the six months ended June 30, 2025. The decrease of $30.1 million was primarily due to higher proceeds from redemption of investments of $30.2 million during the six months ended June 30, 2026, as compared to the six months ended June 30, 2025.</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pPr>
      <w:r>
        <w:rPr>
          <w:rFonts w:ascii="Times New Roman;serif" w:hAnsi="Times New Roman;serif"/>
          <w:b w:val="false"/>
          <w:i/>
          <w:color w:val="000000"/>
          <w:sz w:val="20"/>
        </w:rPr>
        <w:t xml:space="preserve">Financing Activities: </w:t>
      </w:r>
      <w:r>
        <w:rPr>
          <w:rFonts w:ascii="Times New Roman;serif" w:hAnsi="Times New Roman;serif"/>
          <w:b w:val="false"/>
          <w:color w:val="000000"/>
          <w:sz w:val="20"/>
        </w:rPr>
        <w:t>Net cash used for financing activities were $100.8 million during the six months ended June 30, 2026, compared to net cash used of $84.6 million during the six months ended June 30, 2025. The increase of $16.2 million was primarily due to higher purchases of treasury stock of $126.9 million under our share repurchase programs, partially offset by higher net proceeds from borrowings of $111.0 million during the six months ended June 30, 2026, compared to the six months ended June 30, 2025.</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expect to use cash from operating activities to maintain and expand our business by making investments, primarily related to building new digital capabilities, including AI and purchase telecommunications equipment and computer hardware and software in connection with managing client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76" w:before="0" w:after="0"/>
        <w:ind w:left="0" w:right="0" w:firstLine="450"/>
        <w:jc w:val="both"/>
        <w:rPr/>
      </w:pPr>
      <w:r>
        <w:rPr>
          <w:rFonts w:ascii="Times New Roman;serif" w:hAnsi="Times New Roman;serif"/>
          <w:b w:val="false"/>
          <w:color w:val="000000"/>
          <w:sz w:val="20"/>
          <w:shd w:fill="FFFFFF" w:val="clear"/>
        </w:rPr>
        <w:t xml:space="preserve">We incurred </w:t>
      </w:r>
      <w:r>
        <w:rPr>
          <w:rFonts w:ascii="Times New Roman;serif" w:hAnsi="Times New Roman;serif"/>
          <w:b w:val="false"/>
          <w:color w:val="000000"/>
          <w:sz w:val="20"/>
        </w:rPr>
        <w:t>$27.4 million</w:t>
      </w:r>
      <w:r>
        <w:rPr>
          <w:color w:val="000000"/>
          <w:shd w:fill="FFFFFF" w:val="clear"/>
        </w:rPr>
        <w:t xml:space="preserve"> </w:t>
      </w:r>
      <w:r>
        <w:rPr>
          <w:rFonts w:ascii="Times New Roman;serif" w:hAnsi="Times New Roman;serif"/>
          <w:b w:val="false"/>
          <w:color w:val="000000"/>
          <w:sz w:val="20"/>
          <w:shd w:fill="FFFFFF" w:val="clear"/>
        </w:rPr>
        <w:t xml:space="preserve">of capital expenditure during the six months ended June 30, 2026. We expect to incur total capital expenditures of between </w:t>
      </w:r>
      <w:r>
        <w:rPr>
          <w:rFonts w:ascii="Times New Roman;serif" w:hAnsi="Times New Roman;serif"/>
          <w:b w:val="false"/>
          <w:color w:val="000000"/>
          <w:sz w:val="20"/>
        </w:rPr>
        <w:t>$58.0 million</w:t>
      </w:r>
      <w:r>
        <w:rPr>
          <w:color w:val="000000"/>
          <w:shd w:fill="FFFFFF" w:val="clear"/>
        </w:rPr>
        <w:t xml:space="preserve"> </w:t>
      </w:r>
      <w:r>
        <w:rPr>
          <w:rFonts w:ascii="Times New Roman;serif" w:hAnsi="Times New Roman;serif"/>
          <w:b w:val="false"/>
          <w:color w:val="000000"/>
          <w:sz w:val="20"/>
          <w:shd w:fill="FFFFFF" w:val="clear"/>
        </w:rPr>
        <w:t xml:space="preserve">to </w:t>
      </w:r>
      <w:r>
        <w:rPr>
          <w:rFonts w:ascii="Times New Roman;serif" w:hAnsi="Times New Roman;serif"/>
          <w:b w:val="false"/>
          <w:color w:val="000000"/>
          <w:sz w:val="20"/>
        </w:rPr>
        <w:t>$62.0 million</w:t>
      </w:r>
      <w:r>
        <w:rPr>
          <w:color w:val="000000"/>
          <w:shd w:fill="FFFFFF" w:val="clear"/>
        </w:rPr>
        <w:t xml:space="preserve"> </w:t>
      </w:r>
      <w:r>
        <w:rPr>
          <w:rFonts w:ascii="Times New Roman;serif" w:hAnsi="Times New Roman;serif"/>
          <w:b w:val="false"/>
          <w:color w:val="000000"/>
          <w:sz w:val="20"/>
          <w:shd w:fill="FFFFFF" w:val="clear"/>
        </w:rPr>
        <w:t>in fiscal 2026, primarily to meet our growth requirements, including additions to our facilities and infrastructure, as well as investments in technology applications, product development, and other digital technologies.</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connection with any tax assessment orders that have been issued, or may be issued against us or our subsidiaries, we may be required to deposit additional amounts with the relevant authorities with respect to such assessment orders. See Note 25 - Commitments and Contingencies to our unaudited consolidated financial statements under Part I, Item 1, “Financial Statements” for further information.</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that our existing cash, cash equivalents and short-term investments and sources of liquidity will be sufficient to satisfy our cash requirements over the next twelve months. Our future cash requirements will depend on many factors, including our rate of revenue growth, our investments in strategic initiatives like acquisition of complementary businesses, capital expenditures and continued stock repurchases, including accelerated stock repurchases under our board-authorized stock repurchase program, which may require the use of significant cash resources and/or additional financing. We anticipate that we will continue to rely upon cash from operating activities to finance most of our above-mentioned requirements, although if we have significant growth through acquisitions, we may need to obtain additional financing.</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we enter into contracts and commitments that obligate us to make payments in the future. These obligations include borrowings, including interest obligations, purchase commitments, operating and finance lease commitments, employee benefit payments under gratuity plans, payments for contingent consideration and uncertain tax positions. See Note 16 - Fair Value Measurements - Fair Value of Contingent Consideration, Note 18 - Borrowings, Note 20 - Employee Benefit Plans, Note 21 - Leases, Note 22 - Income Taxes and Note 25 - Commitments and Contingencies to our unaudited consolidated financial statements under Part I, Item 1, “Financial Statements” for further information on material cash requirements from known contractual and other obligations.</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we provide standby letters of credit to third parties primarily for facility leases. As of June 30, 2026 and December 31, 2025, we had outstanding letters of credit of $1.1 million and $1.6 million respectively, that were not recognized in our consolidated balance sheets. These are unlikely to have, a current or future material effect on our financial condition, revenues or expenses, results of operations, liquidity, capital expenditures or capital resources. We had no other off-balance sheet arrangements or obligations.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Financing Arrangements</w:t>
      </w:r>
    </w:p>
    <w:p>
      <w:pPr>
        <w:pStyle w:val="TextBody"/>
        <w:bidi w:val="0"/>
        <w:spacing w:lineRule="auto" w:line="417" w:before="18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our debt position:</w:t>
      </w:r>
    </w:p>
    <w:tbl>
      <w:tblPr>
        <w:tblW w:w="10205" w:type="dxa"/>
        <w:jc w:val="left"/>
        <w:tblInd w:w="0" w:type="dxa"/>
        <w:tblLayout w:type="fixed"/>
        <w:tblCellMar>
          <w:top w:w="28" w:type="dxa"/>
          <w:left w:w="28" w:type="dxa"/>
          <w:bottom w:w="28" w:type="dxa"/>
          <w:right w:w="28" w:type="dxa"/>
        </w:tblCellMar>
      </w:tblPr>
      <w:tblGrid>
        <w:gridCol w:w="784"/>
        <w:gridCol w:w="612"/>
        <w:gridCol w:w="614"/>
        <w:gridCol w:w="286"/>
        <w:gridCol w:w="838"/>
        <w:gridCol w:w="147"/>
        <w:gridCol w:w="109"/>
        <w:gridCol w:w="109"/>
        <w:gridCol w:w="109"/>
        <w:gridCol w:w="266"/>
        <w:gridCol w:w="644"/>
        <w:gridCol w:w="137"/>
        <w:gridCol w:w="109"/>
        <w:gridCol w:w="109"/>
        <w:gridCol w:w="109"/>
        <w:gridCol w:w="211"/>
        <w:gridCol w:w="616"/>
        <w:gridCol w:w="109"/>
        <w:gridCol w:w="109"/>
        <w:gridCol w:w="109"/>
        <w:gridCol w:w="109"/>
        <w:gridCol w:w="286"/>
        <w:gridCol w:w="838"/>
        <w:gridCol w:w="147"/>
        <w:gridCol w:w="109"/>
        <w:gridCol w:w="109"/>
        <w:gridCol w:w="109"/>
        <w:gridCol w:w="266"/>
        <w:gridCol w:w="644"/>
        <w:gridCol w:w="137"/>
        <w:gridCol w:w="109"/>
        <w:gridCol w:w="109"/>
        <w:gridCol w:w="109"/>
        <w:gridCol w:w="211"/>
        <w:gridCol w:w="616"/>
        <w:gridCol w:w="161"/>
      </w:tblGrid>
      <w:tr>
        <w:trPr/>
        <w:tc>
          <w:tcPr>
            <w:tcW w:w="78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8" w:type="dxa"/>
            <w:gridSpan w:val="15"/>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15"/>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5" w:type="dxa"/>
            <w:gridSpan w:val="3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Revolving credit facility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 loan facility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Revolving credit facility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 loan facility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borrowings</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portion of long-term borrowings</w:t>
            </w:r>
          </w:p>
        </w:tc>
        <w:tc>
          <w:tcPr>
            <w:tcW w:w="11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borrowings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Long-term borrowings</w:t>
            </w:r>
          </w:p>
        </w:tc>
        <w:tc>
          <w:tcPr>
            <w:tcW w:w="11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Borrowings</w:t>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290.0 </w:t>
            </w:r>
          </w:p>
        </w:tc>
        <w:tc>
          <w:tcPr>
            <w:tcW w:w="1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205.0 </w:t>
            </w:r>
          </w:p>
        </w:tc>
        <w:tc>
          <w:tcPr>
            <w:tcW w:w="1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2024 Credit Agreement will mature on April 18, 2027, and all outstanding amounts will be due and payable. We are in the process of refinancing our 2024 Credit Agreement, which is expected to be completed in the third quarter of 2026. We believe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that we have access to adequate resources, which include cash and cash equivalents, short-term investments, cash provided by operating activities and unused amounts in our revolving credit facility to meet our needs for at least the next twelve months.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we were in compliance with the financial covenants under our credit agreement with certain lenders and Citibank N.A. as administrative agent. See Note 18 – Borrowings to our unaudited consolidated financial statements.</w:t>
      </w:r>
    </w:p>
    <w:p>
      <w:pPr>
        <w:pStyle w:val="TextBody"/>
        <w:bidi w:val="0"/>
        <w:spacing w:lineRule="auto" w:line="288" w:before="180" w:after="283"/>
        <w:ind w:left="0" w:right="0" w:firstLine="45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a description of recent accounting pronouncements, see Note 2 - Summary of Significant Accounting Policies - Recent Accounting Pronouncements to our unaudited consolidated financial statements under Part I, 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ind w:left="0" w:right="0" w:firstLine="45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quantitative and qualitative disclosures about market risk from those disclosed in Part II, Item 7A “Quantitative and Qualitative Disclosures About Market Risk” in our Annual Report on Form 10-K for the fiscal year ended December 31, 2025.</w:t>
      </w:r>
    </w:p>
    <w:p>
      <w:pPr>
        <w:pStyle w:val="TextBody"/>
        <w:bidi w:val="0"/>
        <w:spacing w:before="120" w:after="283"/>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before="120" w:after="283"/>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that are designed to ensure that information required to be disclosed in the reports we file or submit under the Securities Exchange Act of 1934, as amended (the “Exchange Act”) is recorded, processed, summarized and reported within the time periods specified in the U.S. Securities and Exchange Commission’s rules and forms, and that such information is accumulated and communicated to our management, including our Chief Executive Officer (“CEO”) and our Chief Financial Officer (“CFO”), to allow timely decisions regarding required disclosure. In connection with the preparation of this Quarterly Report on Form 10-Q, our management carried out an evaluation, under the supervision and with the participation of the CEO and CFO, of the effectiveness and operation of our disclosure controls and procedures as of June 30, 2026. Based upon that evaluation, our CEO and CFO have concluded that the Company’s disclosure controls and procedures, as of June 30, 2026, were effective.</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before="0" w:after="0"/>
        <w:ind w:left="0" w:right="0" w:firstLine="54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we completed the implementation of an upgraded enterprise resource planning (“ERP”) system. In connection with the implementation, we modified certain business processes and related internal controls over financial reporting, as appropriate. We do not believe these changes have materially affected, or are reasonably likely to materially affect, our internal control over financial reporting.</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Except as described above, there were no changes in our internal control over financial reporting (as defined in Rules 13a-15(f) and 15d-15(f) under the Exchange Act) during the three months ended June 30, 2026 that have materially affected, or are reasonably likely to materially affect, our internal control over financial reporting.</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left"/>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In the course of our normal business activities, various lawsuits, claims and proceedings may be instituted or asserted against us. Although there can be no assurance, we believe that the disposition of matters currently instituted or asserted will not have a material adverse effect on our consolidated financial position, results of operations or cash flows. See Note 25 - Commitments and Contingencies</w:t>
      </w:r>
      <w:r>
        <w:rPr>
          <w:color w:val="000000"/>
        </w:rPr>
        <w:t xml:space="preserve"> </w:t>
      </w:r>
      <w:r>
        <w:rPr>
          <w:rFonts w:ascii="Times New Roman;serif" w:hAnsi="Times New Roman;serif"/>
          <w:b w:val="false"/>
          <w:color w:val="000000"/>
          <w:sz w:val="20"/>
        </w:rPr>
        <w:t>to our unaudited consolidated financial statements under Part I, Item 1, “Financial Statements” for details regarding our tax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disclosed under the heading “Risk Factors” in our Annual Report on Form 10-K for the fiscal year ended December 31, 2025, a number of risks which may materially affect our business, financial condition or results of operations. You should carefully consider those risk factors and the other information set forth elsewhere in this Quarterly Report on Form 10-Q.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Unregistered Sales of Equity Securities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Use of Proceeds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Purchases of Equity Securities by the Issuer</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purchases of common stock were as follows:</w:t>
      </w:r>
    </w:p>
    <w:p>
      <w:pPr>
        <w:pStyle w:val="TextBody"/>
        <w:bidi w:val="0"/>
        <w:spacing w:before="120" w:after="283"/>
        <w:ind w:left="0" w:right="0" w:firstLine="450"/>
        <w:jc w:val="both"/>
        <w:rPr/>
      </w:pPr>
      <w:r>
        <w:rPr/>
      </w:r>
    </w:p>
    <w:tbl>
      <w:tblPr>
        <w:tblW w:w="10205" w:type="dxa"/>
        <w:jc w:val="left"/>
        <w:tblInd w:w="0" w:type="dxa"/>
        <w:tblLayout w:type="fixed"/>
        <w:tblCellMar>
          <w:top w:w="28" w:type="dxa"/>
          <w:left w:w="28" w:type="dxa"/>
          <w:bottom w:w="28" w:type="dxa"/>
          <w:right w:w="28" w:type="dxa"/>
        </w:tblCellMar>
      </w:tblPr>
      <w:tblGrid>
        <w:gridCol w:w="331"/>
        <w:gridCol w:w="291"/>
        <w:gridCol w:w="294"/>
        <w:gridCol w:w="109"/>
        <w:gridCol w:w="109"/>
        <w:gridCol w:w="109"/>
        <w:gridCol w:w="495"/>
        <w:gridCol w:w="325"/>
        <w:gridCol w:w="138"/>
        <w:gridCol w:w="138"/>
        <w:gridCol w:w="138"/>
        <w:gridCol w:w="138"/>
        <w:gridCol w:w="271"/>
        <w:gridCol w:w="514"/>
        <w:gridCol w:w="138"/>
        <w:gridCol w:w="109"/>
        <w:gridCol w:w="109"/>
        <w:gridCol w:w="109"/>
        <w:gridCol w:w="495"/>
        <w:gridCol w:w="385"/>
        <w:gridCol w:w="264"/>
        <w:gridCol w:w="126"/>
        <w:gridCol w:w="126"/>
        <w:gridCol w:w="126"/>
        <w:gridCol w:w="226"/>
        <w:gridCol w:w="643"/>
        <w:gridCol w:w="126"/>
        <w:gridCol w:w="109"/>
        <w:gridCol w:w="109"/>
        <w:gridCol w:w="109"/>
        <w:gridCol w:w="594"/>
        <w:gridCol w:w="352"/>
        <w:gridCol w:w="354"/>
        <w:gridCol w:w="109"/>
        <w:gridCol w:w="109"/>
        <w:gridCol w:w="109"/>
        <w:gridCol w:w="260"/>
        <w:gridCol w:w="1395"/>
        <w:gridCol w:w="214"/>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Shares Purchased </w:t>
              <w:br/>
              <w:t>from Employees in connection with satisfaction of Withholding Tax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 Purchased as Part of Publicly Announced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Approximate Dollar Value of Shares That May Yet Be Purchased Under the Plans or Programs</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w:t>
              <w:br/>
              <w:t>Shares Purchased</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w:t>
              <w:br/>
              <w:t>Shares Purchased</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April 1, 2026 through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277,745 </w:t>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30.77 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277,745 </w:t>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360,000,038 </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May 1, 2026 through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922,413 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922,413 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356,460,324 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June 1, 2026 through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226,316 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226,316 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350,095,275 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1,426,474 </w:t>
            </w:r>
          </w:p>
        </w:tc>
        <w:tc>
          <w:tcPr>
            <w:tcW w:w="2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30.46 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1,426,474 </w:t>
            </w:r>
          </w:p>
        </w:tc>
        <w:tc>
          <w:tcPr>
            <w:tcW w:w="3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ind w:left="0" w:right="0" w:firstLine="450"/>
        <w:jc w:val="both"/>
        <w:rPr/>
      </w:pPr>
      <w:r>
        <w:rPr/>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February 26, 2024, the Company’s board of directors authorized a $500 million (excluding excise tax) common stock repurchase program beginning March 1, 2024 (the “2024 Repurchase Program”), which was terminated effective February 28, 2026.</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February 19, 2026, the Company’s board of directors authorized a $500 million (excluding excise tax) common stock repurchase program effective February 28, 2026 (the “2026 Repurchase Program”), which replaced the 2024 Repurchase Program, and which will terminate on February 29, 2028 unless terminated earlier.</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March 16, 2026, we entered into the 2026 ASR Agreement with Morgan Stanley to repurchase shares of our common stock for an aggregate purchase price of $125 million, as part of our 2026 Repurchase Program. Upon payment of the aggregate purchase price of $125 million, we received an initial delivery of 3,346,720 shares of our common stock at an initial price of $29.88 per share, representing 80% of the aggregate purchase price.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13, 2026, upon final settlement of the 2026 ASR Agreement, we received 799,960 additional shares of our common stock based on a daily volume-weighted average price of $30.14 per share during the term of the 2026 ASR Agreement. See Note 19 – Capital Structure to our unaudited consolidated financial statements under Part I, Item 1, “Financial Statements” for further details.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Under our repurchase program, shares may be purchased by us from time to time from the open market and through private transactions, or otherwise, as determined by our management as market conditions warrant. We have structured open market purchases under our repurchase program to comply with Rule 10b-18 under the Exchange Act. Repurchases may be discontinued at any time by management or our board of directors. Repurchased shares are recorded as treasury shares and are held until our board of directors designates that these shares be retired or used for other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Rule 10b5-1 Trading Plans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INDEX TO EXHIBITS</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left"/>
        <w:rPr/>
      </w:pPr>
      <w:r>
        <w:rPr/>
      </w:r>
    </w:p>
    <w:p>
      <w:pPr>
        <w:pStyle w:val="TextBody"/>
        <w:bidi w:val="0"/>
        <w:spacing w:lineRule="auto" w:line="417"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being filed as part of this report or incorporated by reference as indicated therein:</w:t>
      </w:r>
    </w:p>
    <w:tbl>
      <w:tblPr>
        <w:tblW w:w="10205" w:type="dxa"/>
        <w:jc w:val="left"/>
        <w:tblInd w:w="0" w:type="dxa"/>
        <w:tblLayout w:type="fixed"/>
        <w:tblCellMar>
          <w:top w:w="28" w:type="dxa"/>
          <w:left w:w="28" w:type="dxa"/>
          <w:bottom w:w="28" w:type="dxa"/>
          <w:right w:w="28" w:type="dxa"/>
        </w:tblCellMar>
      </w:tblPr>
      <w:tblGrid>
        <w:gridCol w:w="249"/>
        <w:gridCol w:w="204"/>
        <w:gridCol w:w="210"/>
        <w:gridCol w:w="109"/>
        <w:gridCol w:w="109"/>
        <w:gridCol w:w="109"/>
        <w:gridCol w:w="2762"/>
        <w:gridCol w:w="2668"/>
        <w:gridCol w:w="3785"/>
      </w:tblGrid>
      <w:tr>
        <w:trPr/>
        <w:tc>
          <w:tcPr>
            <w:tcW w:w="24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c>
          <w:tcPr>
            <w:tcW w:w="3785" w:type="dxa"/>
            <w:tcBorders/>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 xml:space="preserve">Fourth Amended and Restated Certificate of Incorporation of the Company, as in effect as of the date hereof (incorporated by reference to Exhibit 3.1 of the Company’s Current Report on Form 8-K (File No. 1-33089) filed on June 25, 2024). </w:t>
              </w:r>
            </w:hyperlink>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Sixth Amended and Restated By-laws of the Company, as in effect as of the date hereof (incorporated by reference to Exhibit 3.2 of the Company’s Current Report on Form 8-K (File No. 1-33089) filed on June 21, 2023).</w:t>
              </w:r>
            </w:hyperlink>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ls-ex311x06302026x10q.htm">
              <w:r>
                <w:rPr>
                  <w:rStyle w:val="InternetLink"/>
                  <w:rFonts w:ascii="Times New Roman;serif" w:hAnsi="Times New Roman;serif"/>
                  <w:b w:val="false"/>
                  <w:color w:val="0000FF"/>
                  <w:sz w:val="20"/>
                  <w:u w:val="single"/>
                </w:rPr>
                <w:t>Certification of the Chief Executive Officer of ExlService Holdings, pursuant to Rule 13a-14(a) of the Exchange Act, as adopted pursuant to Section 302 of the Sarbanes-Oxley Act of 2002.</w:t>
              </w:r>
            </w:hyperlink>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ls-ex312x06302026x10q.htm">
              <w:r>
                <w:rPr>
                  <w:rStyle w:val="InternetLink"/>
                  <w:rFonts w:ascii="Times New Roman;serif" w:hAnsi="Times New Roman;serif"/>
                  <w:b w:val="false"/>
                  <w:color w:val="0000FF"/>
                  <w:sz w:val="20"/>
                  <w:u w:val="single"/>
                </w:rPr>
                <w:t>Certification of the Chief Financial Officer of ExlService Holdings, pursuant to Rule 13a-14(a) of the Exchange Act, as adopted pursuant to Section 302 of the Sarbanes-Oxley Act of 2002</w:t>
              </w:r>
            </w:hyperlink>
            <w:r>
              <w:rPr>
                <w:rFonts w:ascii="Times New Roman;serif" w:hAnsi="Times New Roman;serif"/>
                <w:b w:val="false"/>
                <w:color w:val="000000"/>
                <w:sz w:val="20"/>
              </w:rPr>
              <w:t>.</w:t>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ls-ex321x06302026x10q.htm">
              <w:r>
                <w:rPr>
                  <w:rStyle w:val="InternetLink"/>
                  <w:rFonts w:ascii="Times New Roman;serif" w:hAnsi="Times New Roman;serif"/>
                  <w:b w:val="false"/>
                  <w:color w:val="0000FF"/>
                  <w:sz w:val="20"/>
                  <w:u w:val="single"/>
                </w:rPr>
                <w:t>Certification of the Chief Executive Officer pursuant to Rule 13a-14(b) of the Exchange Act and 18 U.S.C. Section 1350, as adopted pursuant to Section 906 of the Sarbanes-Oxley Act of 2002.</w:t>
              </w:r>
            </w:hyperlink>
            <w:r>
              <w:rPr>
                <w:rFonts w:ascii="Times New Roman;serif" w:hAnsi="Times New Roman;serif"/>
                <w:b w:val="false"/>
                <w:color w:val="000000"/>
                <w:sz w:val="20"/>
              </w:rPr>
              <w:t>*</w:t>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ls-ex322x06302026x10q.htm">
              <w:r>
                <w:rPr>
                  <w:rStyle w:val="InternetLink"/>
                  <w:rFonts w:ascii="Times New Roman;serif" w:hAnsi="Times New Roman;serif"/>
                  <w:b w:val="false"/>
                  <w:color w:val="0000FF"/>
                  <w:sz w:val="20"/>
                  <w:u w:val="single"/>
                </w:rPr>
                <w:t>Certification of the Chief Financial Officer pursuant to Rule 13a-14(b) of the Exchange Act and 18 U.S.C. Section 1350, as adopted pursuant to Section 906 of the Sarbanes-Oxley Act of 2002.</w:t>
              </w:r>
            </w:hyperlink>
            <w:r>
              <w:rPr>
                <w:rFonts w:ascii="Times New Roman;serif" w:hAnsi="Times New Roman;serif"/>
                <w:b w:val="false"/>
                <w:color w:val="000000"/>
                <w:sz w:val="20"/>
              </w:rPr>
              <w:t>*</w:t>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w:t>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w:t>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w:t>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Extension Presentation Linkbase</w:t>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r>
        <w:trPr/>
        <w:tc>
          <w:tcPr>
            <w:tcW w:w="6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*This exhibit will not be deemed “filed” for purposes of Section 18 of the Exchange Act, or otherwise subject to the liability of that section. Such exhibit will not be deemed to be incorporated by reference into any filing under the Securities Act or the Exchange Act, except to the extent that the Company specifically incorporates it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489690a56894ff1bb8cabbd2cc0cf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9047" w:type="dxa"/>
        <w:jc w:val="left"/>
        <w:tblInd w:w="0" w:type="dxa"/>
        <w:tblLayout w:type="fixed"/>
        <w:tblCellMar>
          <w:top w:w="28" w:type="dxa"/>
          <w:left w:w="28" w:type="dxa"/>
          <w:bottom w:w="28" w:type="dxa"/>
          <w:right w:w="28" w:type="dxa"/>
        </w:tblCellMar>
      </w:tblPr>
      <w:tblGrid>
        <w:gridCol w:w="618"/>
        <w:gridCol w:w="544"/>
        <w:gridCol w:w="547"/>
        <w:gridCol w:w="313"/>
        <w:gridCol w:w="313"/>
        <w:gridCol w:w="313"/>
        <w:gridCol w:w="313"/>
        <w:gridCol w:w="313"/>
        <w:gridCol w:w="313"/>
        <w:gridCol w:w="1572"/>
        <w:gridCol w:w="1572"/>
        <w:gridCol w:w="2316"/>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28, 2026</w:t>
            </w:r>
          </w:p>
        </w:tc>
        <w:tc>
          <w:tcPr>
            <w:tcW w:w="733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EXLSERVICE HOLDINGS,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xml:space="preserve">/ </w:t>
            </w:r>
            <w:r>
              <w:rPr>
                <w:rFonts w:ascii="Times New Roman;serif" w:hAnsi="Times New Roman;serif"/>
                <w:b w:val="false"/>
                <w:color w:val="000000"/>
                <w:sz w:val="16"/>
              </w:rPr>
              <w:t>MAURIZIO NICOLELLI</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MAURIZIO NICOLELLI </w:t>
              <w:br/>
              <w:t>Chief Financial Officer</w:t>
              <w:br/>
              <w:t>(Duly Authorized Signatory, 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SECTION 302 CERTIFICATION</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 Rohit Kapoor, certify that:</w:t>
      </w:r>
    </w:p>
    <w:p>
      <w:pPr>
        <w:pStyle w:val="TextBody"/>
        <w:bidi w:val="0"/>
        <w:spacing w:lineRule="auto" w:line="288" w:before="24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of ExlService Holdings, Inc.;</w:t>
      </w:r>
    </w:p>
    <w:p>
      <w:pPr>
        <w:pStyle w:val="TextBody"/>
        <w:bidi w:val="0"/>
        <w:spacing w:lineRule="auto" w:line="288" w:before="24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240" w:after="283"/>
        <w:jc w:val="left"/>
        <w:rPr/>
      </w:pPr>
      <w:r>
        <w:rPr/>
      </w:r>
    </w:p>
    <w:p>
      <w:pPr>
        <w:pStyle w:val="TextBody"/>
        <w:bidi w:val="0"/>
        <w:spacing w:lineRule="auto" w:line="288" w:before="0" w:after="0"/>
        <w:ind w:left="0" w:right="0" w:hanging="360"/>
        <w:jc w:val="left"/>
        <w:rPr>
          <w:color w:val="000000"/>
        </w:rPr>
      </w:pPr>
      <w:r>
        <w:rPr>
          <w:color w:val="000000"/>
        </w:rPr>
        <w:t> </w:t>
      </w:r>
    </w:p>
    <w:p>
      <w:pPr>
        <w:pStyle w:val="TextBody"/>
        <w:bidi w:val="0"/>
        <w:spacing w:before="0" w:after="0"/>
        <w:jc w:val="left"/>
        <w:rPr/>
      </w:pPr>
      <w:r>
        <w:rPr/>
      </w:r>
    </w:p>
    <w:tbl>
      <w:tblPr>
        <w:tblW w:w="4963" w:type="dxa"/>
        <w:jc w:val="left"/>
        <w:tblInd w:w="0" w:type="dxa"/>
        <w:tblLayout w:type="fixed"/>
        <w:tblCellMar>
          <w:top w:w="28" w:type="dxa"/>
          <w:left w:w="28" w:type="dxa"/>
          <w:bottom w:w="28" w:type="dxa"/>
          <w:right w:w="28" w:type="dxa"/>
        </w:tblCellMar>
      </w:tblPr>
      <w:tblGrid>
        <w:gridCol w:w="618"/>
        <w:gridCol w:w="544"/>
        <w:gridCol w:w="547"/>
        <w:gridCol w:w="953"/>
        <w:gridCol w:w="953"/>
        <w:gridCol w:w="1348"/>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28, 2026</w:t>
            </w:r>
          </w:p>
        </w:tc>
        <w:tc>
          <w:tcPr>
            <w:tcW w:w="32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Rohit Kapoor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Rohit Kapoor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SECTION 302 CERTIFICATION</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 Maurizio Nicolelli,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24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of ExlService Holdings, Inc.;</w:t>
      </w:r>
    </w:p>
    <w:p>
      <w:pPr>
        <w:pStyle w:val="TextBody"/>
        <w:bidi w:val="0"/>
        <w:spacing w:lineRule="auto" w:line="288" w:before="24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240" w:after="283"/>
        <w:jc w:val="left"/>
        <w:rPr/>
      </w:pPr>
      <w:r>
        <w:rPr/>
      </w:r>
    </w:p>
    <w:tbl>
      <w:tblPr>
        <w:tblW w:w="3719" w:type="dxa"/>
        <w:jc w:val="left"/>
        <w:tblInd w:w="0" w:type="dxa"/>
        <w:tblLayout w:type="fixed"/>
        <w:tblCellMar>
          <w:top w:w="28" w:type="dxa"/>
          <w:left w:w="28" w:type="dxa"/>
          <w:bottom w:w="28" w:type="dxa"/>
          <w:right w:w="28" w:type="dxa"/>
        </w:tblCellMar>
      </w:tblPr>
      <w:tblGrid>
        <w:gridCol w:w="618"/>
        <w:gridCol w:w="544"/>
        <w:gridCol w:w="547"/>
        <w:gridCol w:w="589"/>
        <w:gridCol w:w="589"/>
        <w:gridCol w:w="832"/>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28, 2026</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Maurizio Nicolelli</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Maurizio Nicolelli</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ExlService Holdings, Inc. (the “Company”) on Form 10-Q for the period ended June 30, 2026 as filed with the Securities and Exchange Commission on the date hereof (the “Report”), I, Rohit Kapoor, Chairman and Chief Executive Officer of the Company, certify, pursuant to 18 U.S.C. Section 1350, as adopted pursuant to Section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(a)the Report fully complies with the requirements of section 13(a) or 15(d) of the Securities Exchange Act of 1934; and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(b)the information contained in the Report fairly presents, in all material respects, the financial condition and results of operations of the Company.</w:t>
      </w:r>
    </w:p>
    <w:tbl>
      <w:tblPr>
        <w:tblW w:w="3596" w:type="dxa"/>
        <w:jc w:val="left"/>
        <w:tblInd w:w="0" w:type="dxa"/>
        <w:tblLayout w:type="fixed"/>
        <w:tblCellMar>
          <w:top w:w="28" w:type="dxa"/>
          <w:left w:w="28" w:type="dxa"/>
          <w:bottom w:w="28" w:type="dxa"/>
          <w:right w:w="28" w:type="dxa"/>
        </w:tblCellMar>
      </w:tblPr>
      <w:tblGrid>
        <w:gridCol w:w="1167"/>
        <w:gridCol w:w="1024"/>
        <w:gridCol w:w="1033"/>
        <w:gridCol w:w="109"/>
        <w:gridCol w:w="109"/>
        <w:gridCol w:w="154"/>
      </w:tblGrid>
      <w:tr>
        <w:trPr/>
        <w:tc>
          <w:tcPr>
            <w:tcW w:w="1167"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Rohit Kapoor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Rohit Kapoor</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28,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ExlService Holdings, Inc. (the “Company”) on Form 10-Q for the period ended June 30, 2026 as filed with the Securities and Exchange Commission on the date hereof (the “Report”), I, Maurizio Nicolelli, Chief Financial Officer of the Company, certify, pursuant to 18 U.S.C. Section 1350, as adopted pursuant to Section 906 of the Sarbanes-Oxley Act of 2002,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(a)the Report fully complies with the requirements of section 13(a) or 15(d) of the Securities Exchange Act of 1934;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2351" w:type="dxa"/>
        <w:jc w:val="left"/>
        <w:tblInd w:w="0" w:type="dxa"/>
        <w:tblLayout w:type="fixed"/>
        <w:tblCellMar>
          <w:top w:w="28" w:type="dxa"/>
          <w:left w:w="28" w:type="dxa"/>
          <w:bottom w:w="28" w:type="dxa"/>
          <w:right w:w="28" w:type="dxa"/>
        </w:tblCellMar>
      </w:tblPr>
      <w:tblGrid>
        <w:gridCol w:w="716"/>
        <w:gridCol w:w="630"/>
        <w:gridCol w:w="633"/>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Maurizio Nicolelli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Maurizio Nicolelli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28,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97989/000110465924074734/tm2417789d1_ex3-1.htm" TargetMode="External"/><Relationship Id="rId3" Type="http://schemas.openxmlformats.org/officeDocument/2006/relationships/hyperlink" Target="https://www.sec.gov/Archives/edgar/data/1297989/000119312523171321/d523950d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24028</Words>
  <Characters>133786</Characters>
  <CharactersWithSpaces>155249</CharactersWithSpaces>
  <Paragraphs>4735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