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03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038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Bloom William 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06/19/2014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46"/>
        <w:spacing w:after="0"/>
        <w:rPr>
          <w:sz w:val="20"/>
          <w:szCs w:val="20"/>
          <w:color w:val="auto"/>
        </w:rPr>
      </w:pPr>
      <w:r>
        <w:rPr>
          <w:rFonts w:ascii="Arial" w:cs="Arial" w:eastAsia="Arial" w:hAnsi="Arial"/>
          <w:sz w:val="17"/>
          <w:szCs w:val="17"/>
          <w:color w:val="0000FF"/>
        </w:rPr>
        <w:t>Pres., Global Client Services</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ind w:left="500"/>
              <w:spacing w:after="0" w:line="132"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50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ind w:left="600"/>
              <w:spacing w:after="0"/>
              <w:rPr>
                <w:sz w:val="20"/>
                <w:szCs w:val="20"/>
                <w:color w:val="auto"/>
              </w:rPr>
            </w:pPr>
            <w:r>
              <w:rPr>
                <w:rFonts w:ascii="Arial" w:cs="Arial" w:eastAsia="Arial" w:hAnsi="Arial"/>
                <w:sz w:val="17"/>
                <w:szCs w:val="17"/>
                <w:color w:val="0000FF"/>
              </w:rPr>
              <w:t>06/19/2014</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2"/>
              </w:rPr>
              <w:t>14,000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19.76</w:t>
            </w:r>
          </w:p>
        </w:tc>
        <w:tc>
          <w:tcPr>
            <w:tcW w:w="180" w:type="dxa"/>
            <w:vAlign w:val="bottom"/>
          </w:tcPr>
          <w:p>
            <w:pPr>
              <w:spacing w:after="0"/>
              <w:rPr>
                <w:sz w:val="22"/>
                <w:szCs w:val="22"/>
                <w:color w:val="auto"/>
              </w:rPr>
            </w:pPr>
          </w:p>
        </w:tc>
        <w:tc>
          <w:tcPr>
            <w:tcW w:w="1220" w:type="dxa"/>
            <w:vAlign w:val="bottom"/>
            <w:gridSpan w:val="2"/>
            <w:vMerge w:val="restart"/>
          </w:tcPr>
          <w:p>
            <w:pPr>
              <w:ind w:left="360"/>
              <w:spacing w:after="0"/>
              <w:rPr>
                <w:sz w:val="20"/>
                <w:szCs w:val="20"/>
                <w:color w:val="auto"/>
              </w:rPr>
            </w:pPr>
            <w:r>
              <w:rPr>
                <w:rFonts w:ascii="Arial" w:cs="Arial" w:eastAsia="Arial" w:hAnsi="Arial"/>
                <w:sz w:val="17"/>
                <w:szCs w:val="17"/>
                <w:color w:val="0000FF"/>
              </w:rPr>
              <w:t>34,551</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ind w:left="600"/>
              <w:spacing w:after="0"/>
              <w:rPr>
                <w:sz w:val="20"/>
                <w:szCs w:val="20"/>
                <w:color w:val="auto"/>
              </w:rPr>
            </w:pPr>
            <w:r>
              <w:rPr>
                <w:rFonts w:ascii="Arial" w:cs="Arial" w:eastAsia="Arial" w:hAnsi="Arial"/>
                <w:sz w:val="17"/>
                <w:szCs w:val="17"/>
                <w:color w:val="0000FF"/>
              </w:rPr>
              <w:t>06/19/2014</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2"/>
              </w:rPr>
              <w:t>14,000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29.3512</w:t>
            </w:r>
            <w:r>
              <w:rPr>
                <w:rFonts w:ascii="Arial" w:cs="Arial" w:eastAsia="Arial" w:hAnsi="Arial"/>
                <w:sz w:val="22"/>
                <w:szCs w:val="22"/>
                <w:color w:val="008000"/>
                <w:w w:val="90"/>
                <w:vertAlign w:val="superscript"/>
              </w:rPr>
              <w:t>(3)</w:t>
            </w:r>
          </w:p>
        </w:tc>
        <w:tc>
          <w:tcPr>
            <w:tcW w:w="1220" w:type="dxa"/>
            <w:vAlign w:val="bottom"/>
            <w:gridSpan w:val="2"/>
            <w:vMerge w:val="restart"/>
          </w:tcPr>
          <w:p>
            <w:pPr>
              <w:ind w:left="360"/>
              <w:spacing w:after="0"/>
              <w:rPr>
                <w:sz w:val="20"/>
                <w:szCs w:val="20"/>
                <w:color w:val="auto"/>
              </w:rPr>
            </w:pPr>
            <w:r>
              <w:rPr>
                <w:rFonts w:ascii="Arial" w:cs="Arial" w:eastAsia="Arial" w:hAnsi="Arial"/>
                <w:sz w:val="17"/>
                <w:szCs w:val="17"/>
                <w:color w:val="0000FF"/>
              </w:rPr>
              <w:t>20,551</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540" w:type="dxa"/>
            <w:vAlign w:val="bottom"/>
            <w:tcBorders>
              <w:bottom w:val="single" w:sz="8" w:color="2C2C2C"/>
            </w:tcBorders>
            <w:gridSpan w:val="11"/>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1"/>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(2)</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14,000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19.76</w:t>
            </w:r>
          </w:p>
        </w:tc>
        <w:tc>
          <w:tcPr>
            <w:tcW w:w="1180" w:type="dxa"/>
            <w:vAlign w:val="bottom"/>
          </w:tcPr>
          <w:p>
            <w:pPr>
              <w:ind w:left="260"/>
              <w:spacing w:after="0" w:line="148" w:lineRule="exact"/>
              <w:rPr>
                <w:sz w:val="20"/>
                <w:szCs w:val="20"/>
                <w:color w:val="auto"/>
              </w:rPr>
            </w:pPr>
            <w:r>
              <w:rPr>
                <w:rFonts w:ascii="Arial" w:cs="Arial" w:eastAsia="Arial" w:hAnsi="Arial"/>
                <w:sz w:val="13"/>
                <w:szCs w:val="13"/>
                <w:color w:val="0000FF"/>
              </w:rPr>
              <w:t>06/19/2014</w:t>
            </w:r>
          </w:p>
        </w:tc>
        <w:tc>
          <w:tcPr>
            <w:tcW w:w="10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ind w:left="320"/>
              <w:spacing w:after="0" w:line="148" w:lineRule="exact"/>
              <w:rPr>
                <w:sz w:val="20"/>
                <w:szCs w:val="20"/>
                <w:color w:val="auto"/>
              </w:rPr>
            </w:pPr>
            <w:r>
              <w:rPr>
                <w:rFonts w:ascii="Arial" w:cs="Arial" w:eastAsia="Arial" w:hAnsi="Arial"/>
                <w:sz w:val="13"/>
                <w:szCs w:val="13"/>
                <w:color w:val="0000FF"/>
                <w:w w:val="95"/>
              </w:rPr>
              <w:t>14,000</w:t>
            </w:r>
          </w:p>
        </w:tc>
        <w:tc>
          <w:tcPr>
            <w:tcW w:w="820" w:type="dxa"/>
            <w:vAlign w:val="bottom"/>
            <w:vMerge w:val="continue"/>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3"/>
                <w:szCs w:val="13"/>
                <w:color w:val="0000FF"/>
                <w:w w:val="92"/>
              </w:rPr>
              <w:t>02/03/2021</w:t>
            </w: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89"/>
              </w:rPr>
              <w:t>par value</w:t>
            </w: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8" w:lineRule="exact"/>
              <w:rPr>
                <w:sz w:val="20"/>
                <w:szCs w:val="20"/>
                <w:color w:val="auto"/>
              </w:rPr>
            </w:pPr>
            <w:r>
              <w:rPr>
                <w:rFonts w:ascii="Arial" w:cs="Arial" w:eastAsia="Arial" w:hAnsi="Arial"/>
                <w:sz w:val="13"/>
                <w:szCs w:val="13"/>
                <w:color w:val="0000FF"/>
                <w:w w:val="90"/>
              </w:rPr>
              <w:t>14,500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w w:val="83"/>
              </w:rPr>
              <w:t>per share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19, 2014 the reporting person exercised previously issued options to purchase an aggregate of 14,000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ind w:left="40" w:right="2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$29.1996 to $29.4801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1,500 of these options are currently vested and exercisable; and the balance of 13,000 will vest on February 3, 2015.</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06/20/2014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3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2019-12-16T15:28:51Z</dcterms:created>
  <dcterms:modified xsi:type="dcterms:W3CDTF">2019-12-16T15:28:51Z</dcterms:modified>
</cp:coreProperties>
</file>