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136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13651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AYYAPPAN AJAY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00" w:type="dxa"/>
            <w:vAlign w:val="bottom"/>
            <w:tcBorders>
              <w:top w:val="single" w:sz="8" w:color="0000EE"/>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12/13/2018</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280 PARK AVENUE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10017</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ExlService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EXLS</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380" w:type="dxa"/>
            <w:vAlign w:val="bottom"/>
          </w:tcPr>
          <w:p>
            <w:pPr>
              <w:spacing w:after="0"/>
              <w:rPr>
                <w:sz w:val="14"/>
                <w:szCs w:val="14"/>
                <w:color w:val="auto"/>
              </w:rPr>
            </w:pPr>
          </w:p>
        </w:tc>
        <w:tc>
          <w:tcPr>
            <w:tcW w:w="1460" w:type="dxa"/>
            <w:vAlign w:val="bottom"/>
          </w:tcPr>
          <w:p>
            <w:pPr>
              <w:ind w:left="16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38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60" w:type="dxa"/>
            <w:vAlign w:val="bottom"/>
          </w:tcPr>
          <w:p>
            <w:pPr>
              <w:ind w:left="16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380" w:type="dxa"/>
            <w:vAlign w:val="bottom"/>
          </w:tcPr>
          <w:p>
            <w:pPr>
              <w:spacing w:after="0"/>
              <w:rPr>
                <w:sz w:val="15"/>
                <w:szCs w:val="15"/>
                <w:color w:val="auto"/>
              </w:rPr>
            </w:pPr>
          </w:p>
        </w:tc>
        <w:tc>
          <w:tcPr>
            <w:tcW w:w="1460" w:type="dxa"/>
            <w:vAlign w:val="bottom"/>
          </w:tcPr>
          <w:p>
            <w:pPr>
              <w:ind w:left="16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380" w:type="dxa"/>
            <w:vAlign w:val="bottom"/>
          </w:tcPr>
          <w:p>
            <w:pPr>
              <w:spacing w:after="0"/>
              <w:rPr>
                <w:sz w:val="21"/>
                <w:szCs w:val="21"/>
                <w:color w:val="auto"/>
              </w:rPr>
            </w:pPr>
          </w:p>
        </w:tc>
        <w:tc>
          <w:tcPr>
            <w:tcW w:w="2940" w:type="dxa"/>
            <w:vAlign w:val="bottom"/>
            <w:gridSpan w:val="2"/>
          </w:tcPr>
          <w:p>
            <w:pPr>
              <w:ind w:left="80"/>
              <w:spacing w:after="0"/>
              <w:rPr>
                <w:sz w:val="20"/>
                <w:szCs w:val="20"/>
                <w:color w:val="auto"/>
              </w:rPr>
            </w:pPr>
            <w:r>
              <w:rPr>
                <w:rFonts w:ascii="Arial" w:cs="Arial" w:eastAsia="Arial" w:hAnsi="Arial"/>
                <w:sz w:val="18"/>
                <w:szCs w:val="18"/>
                <w:color w:val="0000FF"/>
              </w:rPr>
              <w:t>SVP &amp; Gen Counsel/Corp. Sec'y.</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Restricted Stock Units</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1,400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35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Restricted Stock Units</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1,750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35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Restricted Stock Units</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2,430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35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Restricted Stock Units</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2,840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35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February 26, 2015, the reporting person was granted 3,500 restricted stock units, ten percent of the restricted stock units became vested on February 26, 2016, an additional twenty percent of the restricted stock units became vested on February 26, 2017, an additional thirty percent of the restricted stock units became vested on February 26, 2018, and the remaining balance of forty percent of the restricted stock units will vest on February 26, 2019.</w:t>
      </w:r>
    </w:p>
    <w:p>
      <w:pPr>
        <w:spacing w:after="0" w:line="30" w:lineRule="exact"/>
        <w:rPr>
          <w:rFonts w:ascii="Arial" w:cs="Arial" w:eastAsia="Arial" w:hAnsi="Arial"/>
          <w:sz w:val="14"/>
          <w:szCs w:val="14"/>
          <w:color w:val="008000"/>
        </w:rPr>
      </w:pPr>
    </w:p>
    <w:p>
      <w:pPr>
        <w:jc w:val="both"/>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February 24, 2016, the reporting person was granted 3,500 restricted stock units, twenty-five percent of the restricted stock units became vested on February 24, 2017, an additional twenty-five percent of the restricted stock units became vested on February 24, 2018, an additional twenty-five percent of the restricted stock units will vest on February 24, 2019, and the remaining balance of twenty-five percent of the restricted stock units will vest on February 24, 2020.</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February 23, 2017, the reporting person was granted 3,240 restricted stock units, twenty-five percent of the restricted stock units became vested on February 23, 2018, an additional twenty-five percent of the restricted stock units will vest on February 23, 2019, an additional twenty-five percent of the restricted stock units will vest on February 23, 2020, and the remaining balance of twenty-five percent of the restricted stock units will vest on February 23, 2021.</w:t>
      </w:r>
    </w:p>
    <w:p>
      <w:pPr>
        <w:spacing w:after="0" w:line="30"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February 22, 2018, the reporting person was granted 2,840 restricted stock units, twenty-five percent of the restricted stock units will vest on February 22, 2019, an additional twenty-five percent of the restricted stock units will vest on February 22, 2020, an additional twenty-five percent of the restricted stock units will vest on February 22, 2021, and the remaining balance of twenty-five percent of the restricted stock units will vest on February 22, 2022.</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 Exhibit 24.1: Power of Attorney</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12/17/2018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Know all by these presents, that the undersigned hereby constitutes and appoints each of Rohit Kapoor, Vishal Chhibbar, Lazbart Oseni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Steven Barlow, signing singly, as the undersigned’s true and lawful attorney-in-fact to:</w:t>
      </w:r>
    </w:p>
    <w:p>
      <w:pPr>
        <w:spacing w:after="0" w:line="211" w:lineRule="exact"/>
        <w:rPr>
          <w:sz w:val="20"/>
          <w:szCs w:val="20"/>
          <w:color w:val="auto"/>
        </w:rPr>
      </w:pPr>
    </w:p>
    <w:p>
      <w:pPr>
        <w:ind w:right="60" w:firstLine="1305"/>
        <w:spacing w:after="0" w:line="264" w:lineRule="auto"/>
        <w:tabs>
          <w:tab w:leader="none" w:pos="1821"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ExlService Holdings, Inc. (the “Company”), Forms 3, 4, and 5 in accordance with Section 16(a) of the Securities Exchange Act of 1934, as amended, and the rules and regulations thereunder (the “Exchange Act”);</w:t>
      </w:r>
    </w:p>
    <w:p>
      <w:pPr>
        <w:spacing w:after="0" w:line="181" w:lineRule="exact"/>
        <w:rPr>
          <w:rFonts w:ascii="Arial" w:cs="Arial" w:eastAsia="Arial" w:hAnsi="Arial"/>
          <w:sz w:val="18"/>
          <w:szCs w:val="18"/>
          <w:color w:val="auto"/>
        </w:rPr>
      </w:pPr>
    </w:p>
    <w:p>
      <w:pPr>
        <w:jc w:val="both"/>
        <w:ind w:right="180" w:firstLine="1305"/>
        <w:spacing w:after="0" w:line="264" w:lineRule="auto"/>
        <w:tabs>
          <w:tab w:leader="none" w:pos="1821"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the NASDAQ Global Select Market or similar authority; and</w:t>
      </w:r>
    </w:p>
    <w:p>
      <w:pPr>
        <w:spacing w:after="0" w:line="181" w:lineRule="exact"/>
        <w:rPr>
          <w:rFonts w:ascii="Arial" w:cs="Arial" w:eastAsia="Arial" w:hAnsi="Arial"/>
          <w:sz w:val="18"/>
          <w:szCs w:val="18"/>
          <w:color w:val="auto"/>
        </w:rPr>
      </w:pPr>
    </w:p>
    <w:p>
      <w:pPr>
        <w:jc w:val="both"/>
        <w:ind w:right="20" w:firstLine="1305"/>
        <w:spacing w:after="0" w:line="259" w:lineRule="auto"/>
        <w:tabs>
          <w:tab w:leader="none" w:pos="1821"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140" w:firstLine="1297"/>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5" w:lineRule="exact"/>
        <w:rPr>
          <w:sz w:val="20"/>
          <w:szCs w:val="20"/>
          <w:color w:val="auto"/>
        </w:rPr>
      </w:pPr>
    </w:p>
    <w:p>
      <w:pPr>
        <w:jc w:val="both"/>
        <w:ind w:right="80" w:firstLine="1297"/>
        <w:spacing w:after="0" w:line="279" w:lineRule="auto"/>
        <w:rPr>
          <w:sz w:val="20"/>
          <w:szCs w:val="20"/>
          <w:color w:val="auto"/>
        </w:rPr>
      </w:pPr>
      <w:r>
        <w:rPr>
          <w:rFonts w:ascii="Arial" w:cs="Arial" w:eastAsia="Arial" w:hAnsi="Arial"/>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also serves to revoke, as of the date hereof, any Power of Attorney previously filed for the purpose of executing filings relating to the Company pursuant to Section 16 of the Exchange Act on behalf of the undersigned.</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undersigned has caused this Power of Attorney to be executed as of December 14, 2018.</w:t>
      </w:r>
    </w:p>
    <w:p>
      <w:pPr>
        <w:spacing w:after="0" w:line="22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 Ajay Ayyappan</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38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4" w:lineRule="exact"/>
        <w:rPr>
          <w:sz w:val="20"/>
          <w:szCs w:val="20"/>
          <w:color w:val="auto"/>
        </w:rPr>
      </w:pPr>
    </w:p>
    <w:p>
      <w:pPr>
        <w:jc w:val="center"/>
        <w:ind w:left="4020"/>
        <w:spacing w:after="0"/>
        <w:rPr>
          <w:sz w:val="20"/>
          <w:szCs w:val="20"/>
          <w:color w:val="auto"/>
        </w:rPr>
      </w:pPr>
      <w:r>
        <w:rPr>
          <w:rFonts w:ascii="Arial" w:cs="Arial" w:eastAsia="Arial" w:hAnsi="Arial"/>
          <w:sz w:val="18"/>
          <w:szCs w:val="18"/>
          <w:color w:val="auto"/>
        </w:rPr>
        <w:t>Ajay Ayyappan</w:t>
      </w:r>
    </w:p>
    <w:p>
      <w:pPr>
        <w:spacing w:after="0" w:line="23" w:lineRule="exact"/>
        <w:rPr>
          <w:sz w:val="20"/>
          <w:szCs w:val="20"/>
          <w:color w:val="auto"/>
        </w:rPr>
      </w:pPr>
    </w:p>
    <w:p>
      <w:pPr>
        <w:jc w:val="center"/>
        <w:ind w:left="40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38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38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cgi-bin/browse-edgar?action=getcompany&amp;CIK=0001762098"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2019-12-23T22:00:57Z</dcterms:created>
  <dcterms:modified xsi:type="dcterms:W3CDTF">2019-12-23T22:00:57Z</dcterms:modified>
</cp:coreProperties>
</file>