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Sahney Nitin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gridSpan w:val="3"/>
          </w:tcPr>
          <w:p>
            <w:pPr>
              <w:ind w:left="240"/>
              <w:spacing w:after="0" w:line="195" w:lineRule="exact"/>
              <w:rPr>
                <w:sz w:val="20"/>
                <w:szCs w:val="20"/>
                <w:color w:val="auto"/>
              </w:rPr>
            </w:pPr>
            <w:r>
              <w:rPr>
                <w:rFonts w:ascii="Arial" w:cs="Arial" w:eastAsia="Arial" w:hAnsi="Arial"/>
                <w:sz w:val="18"/>
                <w:szCs w:val="18"/>
                <w:color w:val="0000FF"/>
              </w:rPr>
              <w:t>06/21/2016</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1,946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ind w:left="200"/>
              <w:spacing w:after="0"/>
              <w:rPr>
                <w:sz w:val="20"/>
                <w:szCs w:val="20"/>
                <w:color w:val="auto"/>
              </w:rPr>
            </w:pPr>
            <w:r>
              <w:rPr>
                <w:rFonts w:ascii="Arial" w:cs="Arial" w:eastAsia="Arial" w:hAnsi="Arial"/>
                <w:sz w:val="14"/>
                <w:szCs w:val="14"/>
                <w:color w:val="0000FF"/>
                <w:w w:val="79"/>
              </w:rPr>
              <w:t>2,992</w:t>
            </w:r>
            <w:r>
              <w:rPr>
                <w:rFonts w:ascii="Arial" w:cs="Arial" w:eastAsia="Arial" w:hAnsi="Arial"/>
                <w:sz w:val="22"/>
                <w:szCs w:val="22"/>
                <w:color w:val="008000"/>
                <w:w w:val="79"/>
                <w:vertAlign w:val="superscript"/>
              </w:rPr>
              <w:t>(3)</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06/17/2016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49" w:lineRule="exact"/>
              <w:rPr>
                <w:sz w:val="20"/>
                <w:szCs w:val="20"/>
                <w:color w:val="auto"/>
              </w:rPr>
            </w:pPr>
            <w:r>
              <w:rPr>
                <w:rFonts w:ascii="Arial" w:cs="Arial" w:eastAsia="Arial" w:hAnsi="Arial"/>
                <w:sz w:val="14"/>
                <w:szCs w:val="14"/>
                <w:color w:val="0000FF"/>
              </w:rPr>
              <w:t>1,946</w:t>
            </w: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(iii) a change in control (the "Vesting Date") and (iv)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180 days following the end of the reporting person's term on the Board.</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June 21, 2016 inadvertently understated the amount of derivative securities directly held by the reporting person by 70 shares.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purpose of this Form 4/A is to amend the reporting person's original Form 4, as more particularly described in footnote 3 above. Mr. Oseni is the Company's Head of Administration and Accounts.</w:t>
      </w:r>
    </w:p>
    <w:p>
      <w:pPr>
        <w:ind w:left="6860"/>
        <w:spacing w:after="0" w:line="19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12/05/2016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2019-12-08T02:36:04Z</dcterms:created>
  <dcterms:modified xsi:type="dcterms:W3CDTF">2019-12-08T02:36:04Z</dcterms:modified>
</cp:coreProperties>
</file>