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Chhibbar Vishal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four equal annual installments, beginning on February 24, 2017. Vesting will be accelerated upon certain termination of employment events and upon a "Change in Control" (as defined in the ExlService Holdings, Inc. 2015 Amendment and Restatement of the 2006 Omnibus Award Plan (the "Plan"))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60" w:firstLine="7"/>
        <w:spacing w:after="0" w:line="24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50% of the performance-based restricted stock units will cliff vest on December 31, 2018, subject to achievement of threshold revenues against an annual revenue target for such fiscal year, and the remaining 50% of the performance-based restricted stock units will cliff vest on December 31, 2018, based on the achievement of relative total stockholder return performance of the Company against a peer group, in each case subject to continuous employment and other conditions in the Plan. Vesting of some or all of the performance-based restricted stock units may be accelerated upon or in connection with the occurrence of a "Change in Control" as such term is defined in the Plan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2019-12-08T02:28:51Z</dcterms:created>
  <dcterms:modified xsi:type="dcterms:W3CDTF">2019-12-08T02:28:51Z</dcterms:modified>
</cp:coreProperties>
</file>