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Date of Report (Date of earliest event reported): April 29, 2021</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255" w:right="339" w:bottom="1440" w:gutter="0" w:footer="0" w:header="0"/>
        </w:sectPr>
      </w:pPr>
    </w:p>
    <w:p>
      <w:pPr>
        <w:spacing w:after="0" w:line="140"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255"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255" w:right="339" w:bottom="1440" w:gutter="0" w:footer="0" w:header="0"/>
          <w:type w:val="continuous"/>
        </w:sectPr>
      </w:pPr>
    </w:p>
    <w:p>
      <w:pPr>
        <w:spacing w:after="0" w:line="271"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255"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255"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255"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7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75438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91"/>
        </w:trPr>
        <w:tc>
          <w:tcPr>
            <w:tcW w:w="20" w:type="dxa"/>
            <w:vAlign w:val="bottom"/>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442"/>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29, 2021, ExlService Holdings, Inc. (the “Company”) reported its results of operations for the three months ended March 31, 2021.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29, 2021 (furnished pursuant to Item 2.02).</w:t>
        </w:r>
      </w:hyperlink>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ind w:left="19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3020" w:type="dxa"/>
            <w:vAlign w:val="bottom"/>
          </w:tcPr>
          <w:p>
            <w:pPr>
              <w:spacing w:after="0"/>
              <w:rPr>
                <w:sz w:val="20"/>
                <w:szCs w:val="20"/>
                <w:color w:val="auto"/>
              </w:rPr>
            </w:pPr>
            <w:r>
              <w:rPr>
                <w:rFonts w:ascii="Arial" w:cs="Arial" w:eastAsia="Arial" w:hAnsi="Arial"/>
                <w:sz w:val="18"/>
                <w:szCs w:val="18"/>
                <w:color w:val="auto"/>
              </w:rPr>
              <w:t>April 29, 2021</w:t>
            </w:r>
          </w:p>
        </w:tc>
        <w:tc>
          <w:tcPr>
            <w:tcW w:w="3240" w:type="dxa"/>
            <w:vAlign w:val="bottom"/>
          </w:tcPr>
          <w:p>
            <w:pPr>
              <w:ind w:left="196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2021 FIRST QUARTER RESULTS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First Quarter Revenues of $261.4 Million, up 6.3% year-over-year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Q1 Diluted Earnings Per Share (GAAP) of $0.93, up from $0.65 in Q1 of 2020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Q1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$1.18, up from $0.81 in Q1 of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April 29, 2021 - ExlService Holdings, Inc. (NASDAQ: EXLS), a leading operations management and analytics company, today announced its financial results for the quarter ended March 31, 2021.</w:t>
      </w:r>
    </w:p>
    <w:p>
      <w:pPr>
        <w:spacing w:after="0" w:line="197"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Rohit Kapoor, Vice Chairman and Chief Executive Officer, said, “EXL had a strong start to the year with first quarter revenue of $261.4 million. Analytics growth accelerated with a 10.7% revenue increase from the first quarter of 2020. Adjusted diluted earnings per share for the quarter was $1.18, a 46% increase year-over-year. Our data-led value creation framework is resonating well in the market and we are driving revenue expansion with our existing clients as well as signing new logos. While we are in a favorable demand environment with a strong pipeline of opportunities, we also face significant pandemic related challenges in our delivery geographies, particularly in India and the Philippines.”</w:t>
      </w:r>
    </w:p>
    <w:p>
      <w:pPr>
        <w:spacing w:after="0" w:line="200" w:lineRule="exact"/>
        <w:rPr>
          <w:sz w:val="20"/>
          <w:szCs w:val="20"/>
          <w:color w:val="auto"/>
        </w:rPr>
      </w:pP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Maurizio Nicolelli, Chief Financial Officer, said, “Based on our strong first quarter financial results, the growth momentum in the business and an expectation of continued fulfillment levels, we are increasing our revenue guidance for 2021 to be in the range of $1.04 billion to $1.07 billion, representing a 8% to 11% increase year-over-year on a constant currency basis, from 2020. Our adjusted diluted earnings per share guidance for 2021 is increasing to $4.00 to $4.30, representing a 13% to 22%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332" w:lineRule="exact"/>
        <w:rPr>
          <w:sz w:val="20"/>
          <w:szCs w:val="20"/>
          <w:color w:val="auto"/>
        </w:rPr>
      </w:pPr>
    </w:p>
    <w:p>
      <w:pPr>
        <w:jc w:val="both"/>
        <w:ind w:left="660" w:hanging="328"/>
        <w:spacing w:after="0" w:line="249" w:lineRule="auto"/>
        <w:tabs>
          <w:tab w:leader="none" w:pos="65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First Quarter 2021</w:t>
      </w: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March 31, 2021 increased to $261.4 million compared to $246.0 million for the first quarter of 2020, an increase of 6.3% on a reported basis and 5.5% on a constant currency basis from the first quarter of 2020. Revenues increased by 5.0% sequentially on a reported basis and 4.7% on a constant currency basis, from the fourth quarter of 2020.</w:t>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Revenues</w:t>
            </w:r>
          </w:p>
        </w:tc>
        <w:tc>
          <w:tcPr>
            <w:tcW w:w="310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Gross Margin</w:t>
            </w:r>
          </w:p>
        </w:tc>
        <w:tc>
          <w:tcPr>
            <w:tcW w:w="220" w:type="dxa"/>
            <w:vAlign w:val="bottom"/>
          </w:tcPr>
          <w:p>
            <w:pPr>
              <w:spacing w:after="0"/>
              <w:rPr>
                <w:sz w:val="18"/>
                <w:szCs w:val="18"/>
                <w:color w:val="auto"/>
              </w:rPr>
            </w:pPr>
          </w:p>
        </w:tc>
      </w:tr>
      <w:tr>
        <w:trPr>
          <w:trHeight w:val="207"/>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7"/>
                <w:szCs w:val="17"/>
                <w:color w:val="auto"/>
              </w:rPr>
            </w:pPr>
          </w:p>
        </w:tc>
        <w:tc>
          <w:tcPr>
            <w:tcW w:w="3100" w:type="dxa"/>
            <w:vAlign w:val="bottom"/>
            <w:tcBorders>
              <w:top w:val="single" w:sz="8" w:color="auto"/>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top w:val="single" w:sz="8" w:color="auto"/>
              <w:bottom w:val="single" w:sz="8" w:color="auto"/>
            </w:tcBorders>
          </w:tcPr>
          <w:p>
            <w:pPr>
              <w:spacing w:after="0"/>
              <w:rPr>
                <w:sz w:val="17"/>
                <w:szCs w:val="17"/>
                <w:color w:val="auto"/>
              </w:rPr>
            </w:pP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32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r>
      <w:tr>
        <w:trPr>
          <w:trHeight w:val="209"/>
        </w:trPr>
        <w:tc>
          <w:tcPr>
            <w:tcW w:w="2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92"/>
              <w:spacing w:after="0"/>
              <w:rPr>
                <w:sz w:val="20"/>
                <w:szCs w:val="20"/>
                <w:color w:val="auto"/>
              </w:rPr>
            </w:pPr>
            <w:r>
              <w:rPr>
                <w:rFonts w:ascii="Arial" w:cs="Arial" w:eastAsia="Arial" w:hAnsi="Arial"/>
                <w:sz w:val="16"/>
                <w:szCs w:val="16"/>
                <w:b w:val="1"/>
                <w:bCs w:val="1"/>
                <w:color w:val="auto"/>
                <w:w w:val="91"/>
              </w:rPr>
              <w:t>(dollars in millions)</w:t>
            </w: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r>
      <w:tr>
        <w:trPr>
          <w:trHeight w:val="23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39.2 %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33.9 %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3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margin for the quarter ended March 31, 2021 was 15.9%, compared to an operating income margin of 11.2% for the first quarter of 2020 and operating income margin of 15.4% for the fourth quarter of 2020. Adjusted operating income margin for the quarter ended March 31, 2021 was 20.2% compared to 14.8% for the first quarter of 2020 and 19.7% for the fourth quarter of 2020.</w:t>
      </w:r>
    </w:p>
    <w:p>
      <w:pPr>
        <w:spacing w:after="0" w:line="191" w:lineRule="exact"/>
        <w:rPr>
          <w:rFonts w:ascii="Arial" w:cs="Arial" w:eastAsia="Arial" w:hAnsi="Arial"/>
          <w:sz w:val="17"/>
          <w:szCs w:val="17"/>
          <w:color w:val="auto"/>
        </w:rPr>
      </w:pPr>
    </w:p>
    <w:p>
      <w:pPr>
        <w:jc w:val="both"/>
        <w:ind w:left="660" w:hanging="328"/>
        <w:spacing w:after="0" w:line="31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2021 was $0.93 compared to $0.65 for the first quarter of 2020 and $0.94 for the fourth quarter of 2020. Adjusted diluted earnings per share for the quarter ended March 31, 2021 was $1.18 compared to $0.81 for the first quarter of 2020 and $1.14 for the fourth quarter of 2020.</w:t>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First Quarter 2021</w:t>
      </w:r>
    </w:p>
    <w:p>
      <w:pPr>
        <w:spacing w:after="0" w:line="189" w:lineRule="exact"/>
        <w:rPr>
          <w:sz w:val="20"/>
          <w:szCs w:val="20"/>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14 new clients in the first quarter of 2021, with five in our operations management businesses and nine in Analytics.</w:t>
      </w:r>
    </w:p>
    <w:p>
      <w:pPr>
        <w:spacing w:after="0" w:line="144" w:lineRule="exact"/>
        <w:rPr>
          <w:rFonts w:ascii="Arial" w:cs="Arial" w:eastAsia="Arial" w:hAnsi="Arial"/>
          <w:sz w:val="18"/>
          <w:szCs w:val="18"/>
          <w:color w:val="auto"/>
        </w:rPr>
      </w:pPr>
    </w:p>
    <w:p>
      <w:pPr>
        <w:ind w:left="260" w:hanging="212"/>
        <w:spacing w:after="0" w:line="406"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Released LDS 2.0, EXL’s digital new business and underwriting solution for life and annuities insurers which includes a robust suite of automation and configuration tools.</w:t>
      </w:r>
    </w:p>
    <w:p>
      <w:pPr>
        <w:spacing w:after="0" w:line="1" w:lineRule="exact"/>
        <w:rPr>
          <w:rFonts w:ascii="Arial" w:cs="Arial" w:eastAsia="Arial" w:hAnsi="Arial"/>
          <w:sz w:val="18"/>
          <w:szCs w:val="18"/>
          <w:color w:val="auto"/>
        </w:rPr>
      </w:pPr>
    </w:p>
    <w:p>
      <w:pPr>
        <w:ind w:left="260" w:right="20" w:hanging="212"/>
        <w:spacing w:after="0" w:line="40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Released LifePRO® 20, EXL’s innovative digital policy administration platform that supports end-to-end digital insurance policy administration lifecycle.</w:t>
      </w:r>
    </w:p>
    <w:p>
      <w:pPr>
        <w:spacing w:after="0" w:line="1"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Visionary in the February 2021 Gartner Magic Quadrant for Data and Analytics Service Providers</w:t>
      </w:r>
      <w:r>
        <w:rPr>
          <w:rFonts w:ascii="Arial" w:cs="Arial" w:eastAsia="Arial" w:hAnsi="Arial"/>
          <w:sz w:val="23"/>
          <w:szCs w:val="23"/>
          <w:color w:val="auto"/>
          <w:vertAlign w:val="superscript"/>
        </w:rPr>
        <w:t>(2)</w:t>
      </w:r>
    </w:p>
    <w:p>
      <w:pPr>
        <w:spacing w:after="0" w:line="91"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Booming 15 lists in the ISG Index™, for the 13th quarter in a row.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Post-First Quarter Highligh</w:t>
      </w:r>
      <w:r>
        <w:rPr>
          <w:rFonts w:ascii="Arial" w:cs="Arial" w:eastAsia="Arial" w:hAnsi="Arial"/>
          <w:sz w:val="18"/>
          <w:szCs w:val="18"/>
          <w:color w:val="auto"/>
        </w:rPr>
        <w:t>t</w:t>
      </w:r>
    </w:p>
    <w:p>
      <w:pPr>
        <w:spacing w:after="0" w:line="121" w:lineRule="exact"/>
        <w:rPr>
          <w:sz w:val="20"/>
          <w:szCs w:val="20"/>
          <w:color w:val="auto"/>
        </w:rPr>
      </w:pPr>
    </w:p>
    <w:p>
      <w:pPr>
        <w:jc w:val="both"/>
        <w:ind w:left="340" w:hanging="332"/>
        <w:spacing w:after="0" w:line="31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previously announced, subsequent to the first quarter of 2021, on April 19, 2021, Pavan Bagai, President and Chief Operating Officer, notified us that he will retire from the company effective October 1, 2021. Mr. Bagai’s responsibilities will be transitioned in an orderly manner to other members of EXL’s executive team over the course of the next several months.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Guidance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74.50, British Pound to U.S. Dollar exchange rate of 1.38,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48.50 and all other currencies at current exchange rates, we are providing the following 2021 guidance:</w:t>
      </w:r>
    </w:p>
    <w:p>
      <w:pPr>
        <w:spacing w:after="0" w:line="293" w:lineRule="exact"/>
        <w:rPr>
          <w:sz w:val="20"/>
          <w:szCs w:val="20"/>
          <w:color w:val="auto"/>
        </w:rPr>
      </w:pPr>
    </w:p>
    <w:p>
      <w:pPr>
        <w:ind w:left="660" w:hanging="328"/>
        <w:spacing w:after="0" w:line="29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$1.04 billion to $1.07 billion, representing an increase of 9% to 12% on a reported basis, and 8% to 11% on a constant currency basis, from 2020.</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earnings per share of $4.00 to $4.30, representing an increase of 13% to 22% from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85"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ExlService Holdings, Inc. will host a conference call on Thursday, April 29, 2021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50"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8"/>
        <w:spacing w:after="0" w:line="323" w:lineRule="auto"/>
        <w:tabs>
          <w:tab w:leader="none" w:pos="39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Disclaimer: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r>
        <w:rPr>
          <w:rFonts w:ascii="Arial" w:cs="Arial" w:eastAsia="Arial" w:hAnsi="Arial"/>
          <w:sz w:val="14"/>
          <w:szCs w:val="14"/>
          <w:color w:val="auto"/>
        </w:rPr>
        <w:t>.</w:t>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31,600 professionals in locations throughout the United States, the United Kingdom, Europe, India, the Philippines, Colombia, Canada, Australia and South Africa. EXL serves customers in multiple industries including insurance, healthcare, banking and financial services, utilities, travel, transportation and logistics, media and retail, among others. For more information, visit </w:t>
      </w:r>
      <w:r>
        <w:rPr>
          <w:rFonts w:ascii="Arial" w:cs="Arial" w:eastAsia="Arial" w:hAnsi="Arial"/>
          <w:sz w:val="16"/>
          <w:szCs w:val="16"/>
          <w:u w:val="single" w:color="auto"/>
          <w:color w:val="0000FF"/>
        </w:rPr>
        <w:t>www.exlservice.com.</w:t>
      </w:r>
    </w:p>
    <w:p>
      <w:pPr>
        <w:spacing w:after="0" w:line="265"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18" w:right="339" w:bottom="1440" w:gutter="0" w:footer="0" w:header="0"/>
        </w:sectPr>
      </w:pPr>
    </w:p>
    <w:bookmarkStart w:id="7" w:name="page8"/>
    <w:bookmarkEnd w:id="7"/>
    <w:p>
      <w:pPr>
        <w:ind w:left="4292"/>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9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8"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245,990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158,821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162,656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102,594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83,334</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18,235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41,555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27,487</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31,967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22,466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22,411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attributable to ExlService Holdings, Inc.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Weighted-average number of shares used in computing earnings per share attributable to ExlService Holdings Inc.</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33,734,118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34,401,565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34,318,318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34,720,603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52" w:hanging="152"/>
        <w:spacing w:after="0"/>
        <w:tabs>
          <w:tab w:leader="none" w:pos="15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 expense.</w:t>
      </w:r>
    </w:p>
    <w:p>
      <w:pPr>
        <w:sectPr>
          <w:pgSz w:w="11900" w:h="16838" w:orient="portrait"/>
          <w:cols w:equalWidth="0" w:num="1">
            <w:col w:w="11192"/>
          </w:cols>
          <w:pgMar w:left="328" w:top="1107" w:right="379" w:bottom="1440" w:gutter="0" w:footer="0" w:header="0"/>
        </w:sectPr>
      </w:pPr>
    </w:p>
    <w:bookmarkStart w:id="8" w:name="page9"/>
    <w:bookmarkEnd w:id="8"/>
    <w:p>
      <w:pPr>
        <w:jc w:val="center"/>
        <w:ind w:right="6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2021</w:t>
            </w:r>
          </w:p>
        </w:tc>
        <w:tc>
          <w:tcPr>
            <w:tcW w:w="16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5"/>
                <w:szCs w:val="15"/>
                <w:b w:val="1"/>
                <w:bCs w:val="1"/>
                <w:color w:val="auto"/>
                <w:w w:val="90"/>
              </w:rPr>
              <w:t>December 31, 2020</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184,286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147,635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Advance income tax,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596,550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609,278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349,088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32,649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67,645</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66,410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221,078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201,961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528,685</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Arial" w:cs="Arial" w:eastAsia="Arial" w:hAnsi="Arial"/>
                <w:sz w:val="16"/>
                <w:szCs w:val="16"/>
                <w:b w:val="1"/>
                <w:bCs w:val="1"/>
                <w:color w:val="auto"/>
              </w:rPr>
              <w:t>ExlService Holdings, Inc. Stockholders’ equity: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02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w w:val="96"/>
              </w:rPr>
              <w:t>Common stock, $0.001 par value; 100,000,000 shares authorized, 39,273,989 shares issued and</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3"/>
              </w:rPr>
              <w:t>33,526,889 shares outstanding as of March 31, 2021 and 38,968,052 shares issued and 33,559,434</w:t>
            </w: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outstanding as of December 31, 2020</w:t>
            </w: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420,976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987,410</w:t>
            </w:r>
          </w:p>
        </w:tc>
        <w:tc>
          <w:tcPr>
            <w:tcW w:w="0" w:type="dxa"/>
            <w:vAlign w:val="bottom"/>
          </w:tcPr>
          <w:p>
            <w:pPr>
              <w:spacing w:after="0"/>
              <w:rPr>
                <w:sz w:val="1"/>
                <w:szCs w:val="1"/>
                <w:color w:val="auto"/>
              </w:rPr>
            </w:pPr>
          </w:p>
        </w:tc>
      </w:tr>
      <w:tr>
        <w:trPr>
          <w:trHeight w:val="166"/>
        </w:trPr>
        <w:tc>
          <w:tcPr>
            <w:tcW w:w="7020" w:type="dxa"/>
            <w:vAlign w:val="bottom"/>
          </w:tcPr>
          <w:p>
            <w:pPr>
              <w:ind w:left="20"/>
              <w:spacing w:after="0" w:line="166" w:lineRule="exact"/>
              <w:rPr>
                <w:sz w:val="20"/>
                <w:szCs w:val="20"/>
                <w:color w:val="auto"/>
              </w:rPr>
            </w:pPr>
            <w:r>
              <w:rPr>
                <w:rFonts w:ascii="Arial" w:cs="Arial" w:eastAsia="Arial" w:hAnsi="Arial"/>
                <w:sz w:val="16"/>
                <w:szCs w:val="16"/>
                <w:color w:val="auto"/>
                <w:w w:val="96"/>
              </w:rPr>
              <w:t>Less: 5,747,100 shares as of March 31, 2021 and 5,408,618 shares as of December 31, 2020, held in</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(297,253)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(268,238)</w:t>
            </w:r>
          </w:p>
        </w:tc>
        <w:tc>
          <w:tcPr>
            <w:tcW w:w="0" w:type="dxa"/>
            <w:vAlign w:val="bottom"/>
          </w:tcPr>
          <w:p>
            <w:pPr>
              <w:spacing w:after="0"/>
              <w:rPr>
                <w:sz w:val="1"/>
                <w:szCs w:val="1"/>
                <w:color w:val="auto"/>
              </w:rPr>
            </w:pPr>
          </w:p>
        </w:tc>
      </w:tr>
      <w:tr>
        <w:trPr>
          <w:trHeight w:val="21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726,225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80"/>
          </w:cols>
          <w:pgMar w:left="1080" w:top="891"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22" w:lineRule="auto"/>
        <w:rPr>
          <w:sz w:val="20"/>
          <w:szCs w:val="20"/>
          <w:color w:val="auto"/>
        </w:rPr>
      </w:pPr>
      <w:r>
        <w:rPr>
          <w:rFonts w:ascii="Arial" w:cs="Arial" w:eastAsia="Arial" w:hAnsi="Arial"/>
          <w:sz w:val="17"/>
          <w:szCs w:val="17"/>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any non-recurring tax adjustments and income tax impact of the above pre-tax items, as applicable. The income tax impact of each item is calculated by applying the statutory rate and local tax regulations in the jurisdiction in which the item was incurred.</w:t>
      </w:r>
    </w:p>
    <w:p>
      <w:pPr>
        <w:spacing w:after="0" w:line="20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73.08 during the quarter ended March 31, 2020 to 73.17 during the quarter ended March 31, 2021, representing an appreciation of 0.1%. The average exchange rate of the U.S. Dollar against the Philippine Peso decreased from 50.83 during the quarter ended March 31, 2020 to 48.39 during the quarter ended March 31, 2021, representing a depreciation of 4.8%. The</w:t>
      </w:r>
    </w:p>
    <w:p>
      <w:pPr>
        <w:sectPr>
          <w:pgSz w:w="11900" w:h="16838" w:orient="portrait"/>
          <w:cols w:equalWidth="0" w:num="1">
            <w:col w:w="11240"/>
          </w:cols>
          <w:pgMar w:left="320" w:top="1026" w:right="339" w:bottom="1440" w:gutter="0" w:footer="0" w:header="0"/>
        </w:sectPr>
      </w:pPr>
    </w:p>
    <w:bookmarkStart w:id="10" w:name="page11"/>
    <w:bookmarkEnd w:id="10"/>
    <w:p>
      <w:pPr>
        <w:spacing w:after="0" w:line="324" w:lineRule="auto"/>
        <w:rPr>
          <w:sz w:val="20"/>
          <w:szCs w:val="20"/>
          <w:color w:val="auto"/>
        </w:rPr>
      </w:pPr>
      <w:r>
        <w:rPr>
          <w:rFonts w:ascii="Arial" w:cs="Arial" w:eastAsia="Arial" w:hAnsi="Arial"/>
          <w:sz w:val="18"/>
          <w:szCs w:val="18"/>
          <w:color w:val="auto"/>
        </w:rPr>
        <w:t>average exchange rate of the British Pound against the U.S. Dollar increased from 1.28 during the quarter ended March 31, 2020 to 1.38 during the quarter ended March 31, 2021, representing a depreciation of 8.2%.</w:t>
      </w:r>
    </w:p>
    <w:p>
      <w:pPr>
        <w:spacing w:after="0" w:line="197"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March 31, 2021 and March 31, 2020, and the three months ended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8"/>
              </w:rPr>
              <w:t>Three months ended</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31,931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32,218</w:t>
            </w:r>
          </w:p>
        </w:tc>
        <w:tc>
          <w:tcPr>
            <w:tcW w:w="0" w:type="dxa"/>
            <w:vAlign w:val="bottom"/>
          </w:tcPr>
          <w:p>
            <w:pPr>
              <w:spacing w:after="0"/>
              <w:rPr>
                <w:sz w:val="1"/>
                <w:szCs w:val="1"/>
                <w:color w:val="auto"/>
              </w:rPr>
            </w:pPr>
          </w:p>
        </w:tc>
      </w:tr>
      <w:tr>
        <w:trPr>
          <w:trHeight w:val="229"/>
        </w:trPr>
        <w:tc>
          <w:tcPr>
            <w:tcW w:w="614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8,958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166"/>
        </w:trPr>
        <w:tc>
          <w:tcPr>
            <w:tcW w:w="614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w w:val="95"/>
              </w:rPr>
              <w:t>add/(subtract): Interest expense, foreign exchange gain, net, loss from equity-method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41,555</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31"/>
              <w:spacing w:after="0"/>
              <w:rPr>
                <w:sz w:val="20"/>
                <w:szCs w:val="20"/>
                <w:color w:val="auto"/>
              </w:rPr>
            </w:pPr>
            <w:r>
              <w:rPr>
                <w:rFonts w:ascii="Arial" w:cs="Arial" w:eastAsia="Arial" w:hAnsi="Arial"/>
                <w:sz w:val="18"/>
                <w:szCs w:val="18"/>
                <w:b w:val="1"/>
                <w:bCs w:val="1"/>
                <w:color w:val="auto"/>
              </w:rPr>
              <w:t>27,487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38,263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52,748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36,419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49,063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20.2 %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14.8 %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19.7 %</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61,488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44,715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58,830</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(GAAP)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32,218</w:t>
            </w:r>
          </w:p>
        </w:tc>
        <w:tc>
          <w:tcPr>
            <w:tcW w:w="0" w:type="dxa"/>
            <w:vAlign w:val="bottom"/>
          </w:tcPr>
          <w:p>
            <w:pPr>
              <w:spacing w:after="0"/>
              <w:rPr>
                <w:sz w:val="1"/>
                <w:szCs w:val="1"/>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6"/>
                <w:szCs w:val="16"/>
                <w:color w:val="auto"/>
              </w:rPr>
              <w:t>add: Stock-based compensation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Amortization of acquisition-related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subtract: Effect of non-recurring tax benefits (a)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6"/>
                <w:szCs w:val="16"/>
                <w:color w:val="auto"/>
              </w:rPr>
              <w:t>subtract: Tax impact on stock-based compensation expense (b)</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4"/>
              </w:rPr>
              <w:t>subtract: Tax impact on non-cash interest expense related to convertible senior notes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39,286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480" w:hanging="229"/>
        <w:spacing w:after="0"/>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benefits related to certain deferred tax assets and liabilities.</w:t>
      </w:r>
    </w:p>
    <w:p>
      <w:pPr>
        <w:spacing w:after="0" w:line="99" w:lineRule="exact"/>
        <w:rPr>
          <w:rFonts w:ascii="Arial" w:cs="Arial" w:eastAsia="Arial" w:hAnsi="Arial"/>
          <w:sz w:val="16"/>
          <w:szCs w:val="16"/>
          <w:i w:val="1"/>
          <w:iCs w:val="1"/>
          <w:color w:val="auto"/>
        </w:rPr>
      </w:pPr>
    </w:p>
    <w:p>
      <w:pPr>
        <w:ind w:left="500" w:hanging="249"/>
        <w:spacing w:after="0" w:line="291" w:lineRule="auto"/>
        <w:tabs>
          <w:tab w:leader="none" w:pos="492"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$931 and $1,799 during the three months ended March 31, 2021 and 2020 respectively, and $504 during the three months ended December 31, 2020,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2021-04-29T05:55:30Z</dcterms:created>
  <dcterms:modified xsi:type="dcterms:W3CDTF">2021-04-29T05:55:30Z</dcterms:modified>
</cp:coreProperties>
</file>