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r>
        <w:rPr>
          <w:rFonts w:ascii="Arial" w:cs="Arial" w:eastAsia="Arial" w:hAnsi="Arial"/>
          <w:sz w:val="18"/>
          <w:szCs w:val="18"/>
          <w:b w:val="1"/>
          <w:b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Exlservice Holdings,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302081104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u w:val="single" w:color="auto"/>
          <w:color w:val="auto"/>
        </w:rPr>
        <w:t>302081104</w:t>
      </w:r>
    </w:p>
    <w:p>
      <w:pPr>
        <w:spacing w:after="0" w:line="14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531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I.R.S. Identification Nos. of Above Persons (Entities Only)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960" w:type="dxa"/>
            <w:vAlign w:val="bottom"/>
            <w:gridSpan w:val="4"/>
          </w:tcPr>
          <w:p>
            <w:pPr>
              <w:ind w:left="80"/>
              <w:spacing w:after="0"/>
              <w:rPr>
                <w:sz w:val="20"/>
                <w:szCs w:val="20"/>
                <w:color w:val="auto"/>
              </w:rPr>
            </w:pPr>
            <w:r>
              <w:rPr>
                <w:rFonts w:ascii="Arial" w:cs="Arial" w:eastAsia="Arial" w:hAnsi="Arial"/>
                <w:sz w:val="22"/>
                <w:szCs w:val="22"/>
                <w:color w:val="auto"/>
              </w:rPr>
              <w:t>TimesSquare Capital Management, LLC</w:t>
            </w:r>
          </w:p>
        </w:tc>
        <w:tc>
          <w:tcPr>
            <w:tcW w:w="0" w:type="dxa"/>
            <w:vAlign w:val="bottom"/>
          </w:tcPr>
          <w:p>
            <w:pPr>
              <w:spacing w:after="0"/>
              <w:rPr>
                <w:sz w:val="1"/>
                <w:szCs w:val="1"/>
                <w:color w:val="auto"/>
              </w:rPr>
            </w:pPr>
          </w:p>
        </w:tc>
      </w:tr>
      <w:tr>
        <w:trPr>
          <w:trHeight w:val="276"/>
        </w:trPr>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60"/>
              <w:spacing w:after="0"/>
              <w:rPr>
                <w:sz w:val="20"/>
                <w:szCs w:val="20"/>
                <w:color w:val="auto"/>
              </w:rPr>
            </w:pPr>
            <w:r>
              <w:rPr>
                <w:rFonts w:ascii="Arial" w:cs="Arial" w:eastAsia="Arial" w:hAnsi="Arial"/>
                <w:sz w:val="22"/>
                <w:szCs w:val="22"/>
                <w:color w:val="auto"/>
                <w:w w:val="90"/>
              </w:rPr>
              <w:t>20-1665304</w:t>
            </w:r>
          </w:p>
        </w:tc>
        <w:tc>
          <w:tcPr>
            <w:tcW w:w="9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96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(b)</w:t>
            </w:r>
          </w:p>
        </w:tc>
        <w:tc>
          <w:tcPr>
            <w:tcW w:w="98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9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1,833,003</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4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980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0" w:type="dxa"/>
            <w:vAlign w:val="bottom"/>
            <w:vMerge w:val="restart"/>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3"/>
              </w:rPr>
              <w:t>Owned By</w:t>
            </w:r>
          </w:p>
        </w:tc>
        <w:tc>
          <w:tcPr>
            <w:tcW w:w="4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2"/>
              </w:rPr>
              <w:t>Each</w:t>
            </w:r>
          </w:p>
        </w:tc>
        <w:tc>
          <w:tcPr>
            <w:tcW w:w="44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800" w:type="dxa"/>
            <w:vAlign w:val="bottom"/>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800" w:type="dxa"/>
            <w:vAlign w:val="bottom"/>
          </w:tcPr>
          <w:p>
            <w:pPr>
              <w:ind w:left="140"/>
              <w:spacing w:after="0" w:line="244" w:lineRule="exact"/>
              <w:rPr>
                <w:sz w:val="20"/>
                <w:szCs w:val="20"/>
                <w:color w:val="auto"/>
              </w:rPr>
            </w:pPr>
            <w:r>
              <w:rPr>
                <w:rFonts w:ascii="Arial" w:cs="Arial" w:eastAsia="Arial" w:hAnsi="Arial"/>
                <w:sz w:val="22"/>
                <w:szCs w:val="22"/>
                <w:color w:val="auto"/>
              </w:rPr>
              <w:t>1,886,873</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4"/>
              </w:rPr>
              <w:t>With</w:t>
            </w:r>
          </w:p>
        </w:tc>
        <w:tc>
          <w:tcPr>
            <w:tcW w:w="4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4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2"/>
                <w:szCs w:val="12"/>
                <w:color w:val="auto"/>
              </w:rPr>
            </w:pPr>
          </w:p>
        </w:tc>
        <w:tc>
          <w:tcPr>
            <w:tcW w:w="980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1,886,873</w:t>
            </w:r>
          </w:p>
        </w:tc>
        <w:tc>
          <w:tcPr>
            <w:tcW w:w="6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96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right w:val="single" w:sz="8" w:color="auto"/>
            </w:tcBorders>
            <w:gridSpan w:val="2"/>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6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5.7%</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ind w:left="5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 of Issuer: Exlservice Holdings, Inc.</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Item 1(b)</w:t>
      </w:r>
    </w:p>
    <w:p>
      <w:pPr>
        <w:sectPr>
          <w:pgSz w:w="11900" w:h="16838" w:orient="portrait"/>
          <w:cols w:equalWidth="0" w:num="1">
            <w:col w:w="10800"/>
          </w:cols>
          <w:pgMar w:left="240" w:top="270" w:right="85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280 Park Avenue, 38</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ectPr>
          <w:pgSz w:w="11900" w:h="16838" w:orient="portrait"/>
          <w:cols w:equalWidth="0" w:num="2">
            <w:col w:w="3480" w:space="520"/>
            <w:col w:w="6800"/>
          </w:cols>
          <w:pgMar w:left="240" w:top="270" w:right="859" w:bottom="1440" w:gutter="0" w:footer="0" w:header="0"/>
          <w:type w:val="continuous"/>
        </w:sectPr>
      </w:pPr>
    </w:p>
    <w:p>
      <w:pPr>
        <w:spacing w:after="0" w:line="23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Persons Filing: TimesSquare Capital Management, LLC (“TimesSquare”)</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TimesSquare:</w:t>
      </w:r>
      <w:r>
        <w:rPr>
          <w:sz w:val="20"/>
          <w:szCs w:val="20"/>
          <w:color w:val="auto"/>
        </w:rPr>
        <w:tab/>
      </w:r>
      <w:r>
        <w:rPr>
          <w:rFonts w:ascii="Arial" w:cs="Arial" w:eastAsia="Arial" w:hAnsi="Arial"/>
          <w:sz w:val="16"/>
          <w:szCs w:val="16"/>
          <w:color w:val="auto"/>
        </w:rPr>
        <w:t>7 Times Square, 42nd Floor</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New York, NY 10036</w:t>
      </w:r>
    </w:p>
    <w:p>
      <w:pPr>
        <w:spacing w:after="0" w:line="200" w:lineRule="exact"/>
        <w:rPr>
          <w:sz w:val="20"/>
          <w:szCs w:val="20"/>
          <w:color w:val="auto"/>
        </w:rPr>
      </w:pPr>
    </w:p>
    <w:p>
      <w:pPr>
        <w:spacing w:after="0" w:line="23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Citizenship: TimesSquare is a Delaware limited liability company.</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 Common Stock, $0.001 par value</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Number: 302081104</w:t>
      </w:r>
    </w:p>
    <w:p>
      <w:pPr>
        <w:spacing w:after="0" w:line="200" w:lineRule="exact"/>
        <w:rPr>
          <w:sz w:val="20"/>
          <w:szCs w:val="20"/>
          <w:color w:val="auto"/>
        </w:rPr>
      </w:pPr>
    </w:p>
    <w:p>
      <w:pPr>
        <w:spacing w:after="0" w:line="23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statement is filed by TimesSquare pursuant to §§240.l3d-l(b), or 240.13d-2(b) or (c), on the basis that TimesSquare is an investment adviser in accordance with §240.13d-1(b)(1)(ii)(E).</w:t>
      </w:r>
    </w:p>
    <w:p>
      <w:pPr>
        <w:spacing w:after="0" w:line="38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Item 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The following ownership information is as of December 31, 2014.</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1,886,873</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5.7%</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Percent of class is based on 32,846,000 shares of Common Stock outstanding as of December 31, 2014 as reported to us by FT Interactive Data Corporation.</w:t>
      </w:r>
    </w:p>
    <w:p>
      <w:pPr>
        <w:sectPr>
          <w:pgSz w:w="11900" w:h="16838" w:orient="portrait"/>
          <w:cols w:equalWidth="0" w:num="1">
            <w:col w:w="10800"/>
          </w:cols>
          <w:pgMar w:left="240" w:top="270" w:right="859" w:bottom="1440" w:gutter="0" w:footer="0" w:header="0"/>
          <w:type w:val="continuous"/>
        </w:sectPr>
      </w:pPr>
    </w:p>
    <w:bookmarkStart w:id="3" w:name="page4"/>
    <w:bookmarkEnd w:id="3"/>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the person has: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1,833,003*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1,886,873*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52" w:lineRule="exact"/>
        <w:rPr>
          <w:sz w:val="20"/>
          <w:szCs w:val="20"/>
          <w:color w:val="auto"/>
        </w:rPr>
      </w:pPr>
    </w:p>
    <w:p>
      <w:pPr>
        <w:ind w:left="220" w:right="20" w:hanging="212"/>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shares reported on in this statement are owned by investment advisory clients of TimesSquare. In its role as investment adviser, TimesSquare has voting and dispositive power with respect to these shares.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of Five Percent or Less of a Class.</w:t>
      </w:r>
    </w:p>
    <w:p>
      <w:pPr>
        <w:spacing w:after="0" w:line="225"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of More than Five Percent on Behalf of Another Person.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shares of Common Stock reported on in this statement are owned by investment advisory clients of TimesSquare, and such clients have the right to receive dividends from and proceeds from the sale of such shares. To TimesSquare’s knowledge, the interest of no one of these clients relates to more than 5% of the class.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7</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and Classification of the Subsidiary Which Acquired the Security Being Reported on By the Parent Holding Company or Control Person.</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and Classification of Members of the Group.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Notice of Dissolution of Group.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TIMESSQUARE CAPITAL MANAGEMENT,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Signature: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J. Aaron</w:t>
            </w: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Name/Title:</w:t>
            </w:r>
          </w:p>
        </w:tc>
        <w:tc>
          <w:tcPr>
            <w:tcW w:w="5140" w:type="dxa"/>
            <w:vAlign w:val="bottom"/>
          </w:tcPr>
          <w:p>
            <w:pPr>
              <w:spacing w:after="0"/>
              <w:rPr>
                <w:sz w:val="20"/>
                <w:szCs w:val="20"/>
                <w:color w:val="auto"/>
              </w:rPr>
            </w:pPr>
            <w:r>
              <w:rPr>
                <w:rFonts w:ascii="Arial" w:cs="Arial" w:eastAsia="Arial" w:hAnsi="Arial"/>
                <w:sz w:val="18"/>
                <w:szCs w:val="18"/>
                <w:color w:val="auto"/>
              </w:rPr>
              <w:t>Mark J. Aaron</w:t>
            </w:r>
          </w:p>
        </w:tc>
      </w:tr>
      <w:tr>
        <w:trPr>
          <w:trHeight w:val="230"/>
        </w:trPr>
        <w:tc>
          <w:tcPr>
            <w:tcW w:w="11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Operating Officer and Chief Compliance Officer</w:t>
            </w:r>
          </w:p>
        </w:tc>
      </w:tr>
    </w:tbl>
    <w:p>
      <w:pPr>
        <w:spacing w:after="0" w:line="1" w:lineRule="exact"/>
        <w:rPr>
          <w:sz w:val="20"/>
          <w:szCs w:val="20"/>
          <w:color w:val="auto"/>
        </w:rPr>
      </w:pP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lvl w:ilvl="1">
      <w:lvlJc w:val="left"/>
      <w:lvlText w:val="(%2)"/>
      <w:numFmt w:val="lowerRoman"/>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2019-12-08T12:30:37Z</dcterms:created>
  <dcterms:modified xsi:type="dcterms:W3CDTF">2019-12-08T12:30:37Z</dcterms:modified>
</cp:coreProperties>
</file>