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11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155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3"/>
        <w:spacing w:after="0"/>
        <w:rPr>
          <w:sz w:val="20"/>
          <w:szCs w:val="20"/>
          <w:color w:val="auto"/>
        </w:rPr>
      </w:pPr>
      <w:r>
        <w:rPr>
          <w:rFonts w:ascii="Arial" w:cs="Arial" w:eastAsia="Arial" w:hAnsi="Arial"/>
          <w:sz w:val="17"/>
          <w:szCs w:val="17"/>
          <w:color w:val="0000FF"/>
        </w:rPr>
        <w:t>President and COO</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5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620" w:type="dxa"/>
            <w:vAlign w:val="bottom"/>
          </w:tcPr>
          <w:p>
            <w:pPr>
              <w:ind w:left="4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gridSpan w:val="3"/>
          </w:tcPr>
          <w:p>
            <w:pPr>
              <w:ind w:left="2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32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01/26/2008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2"/>
              </w:rPr>
              <w:t>18,705</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1,459,275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2"/>
          </w:tcPr>
          <w:p>
            <w:pPr>
              <w:jc w:val="center"/>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01/26/2007</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restart"/>
          </w:tcPr>
          <w:p>
            <w:pPr>
              <w:jc w:val="right"/>
              <w:ind w:right="413"/>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ind w:left="480"/>
              <w:spacing w:after="0" w:line="148" w:lineRule="exact"/>
              <w:rPr>
                <w:sz w:val="20"/>
                <w:szCs w:val="20"/>
                <w:color w:val="auto"/>
              </w:rPr>
            </w:pPr>
            <w:r>
              <w:rPr>
                <w:rFonts w:ascii="Arial" w:cs="Arial" w:eastAsia="Arial" w:hAnsi="Arial"/>
                <w:sz w:val="13"/>
                <w:szCs w:val="13"/>
                <w:color w:val="0000FF"/>
              </w:rPr>
              <w:t>18,750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restart"/>
          </w:tcPr>
          <w:p>
            <w:pPr>
              <w:ind w:left="8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w w:val="90"/>
              </w:rPr>
              <w:t>56,250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January 26, 2008, ExlService Holdings, Inc. (the "Company") issued 18,750 shares of common stock, par value $0.001 per share ("Common Stock"), to the reporting person upon the vesting of an equal number of shares of restricted stock previously granted to the reporting person.</w:t>
      </w:r>
    </w:p>
    <w:p>
      <w:pPr>
        <w:spacing w:after="0" w:line="10"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transfer, effective December 31, 2007, of 66,453 shares of Common Stock to the reporting person from the Rohit Kapoor 2005 Grantor Retained Annuity Trust, of which the reporting person is the sole trustee.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restricted stock vested as of January 26, 2008.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860"/>
        <w:spacing w:after="0" w:line="19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6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2019-12-16T13:32:09Z</dcterms:created>
  <dcterms:modified xsi:type="dcterms:W3CDTF">2019-12-16T13:32:09Z</dcterms:modified>
</cp:coreProperties>
</file>