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216535</wp:posOffset>
            </wp:positionH>
            <wp:positionV relativeFrom="page">
              <wp:posOffset>697230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662940</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3" w:lineRule="exact"/>
        <w:rPr>
          <w:sz w:val="24"/>
          <w:szCs w:val="24"/>
          <w:color w:val="auto"/>
        </w:rPr>
      </w:pPr>
    </w:p>
    <w:p>
      <w:pPr>
        <w:ind w:left="3060"/>
        <w:spacing w:after="0"/>
        <w:rPr>
          <w:sz w:val="20"/>
          <w:szCs w:val="20"/>
          <w:color w:val="auto"/>
        </w:rPr>
      </w:pPr>
      <w:r>
        <w:rPr>
          <w:rFonts w:ascii="Arial" w:cs="Arial" w:eastAsia="Arial" w:hAnsi="Arial"/>
          <w:sz w:val="17"/>
          <w:szCs w:val="17"/>
          <w:b w:val="1"/>
          <w:bCs w:val="1"/>
          <w:color w:val="auto"/>
        </w:rPr>
        <w:t>_________________________________________________________</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6" w:lineRule="exact"/>
        <w:rPr>
          <w:sz w:val="24"/>
          <w:szCs w:val="24"/>
          <w:color w:val="auto"/>
        </w:rPr>
      </w:pPr>
    </w:p>
    <w:p>
      <w:pPr>
        <w:ind w:left="3060"/>
        <w:spacing w:after="0"/>
        <w:rPr>
          <w:sz w:val="20"/>
          <w:szCs w:val="20"/>
          <w:color w:val="auto"/>
        </w:rPr>
      </w:pPr>
      <w:r>
        <w:rPr>
          <w:rFonts w:ascii="Arial" w:cs="Arial" w:eastAsia="Arial" w:hAnsi="Arial"/>
          <w:sz w:val="17"/>
          <w:szCs w:val="17"/>
          <w:b w:val="1"/>
          <w:bCs w:val="1"/>
          <w:color w:val="auto"/>
        </w:rPr>
        <w:t>_________________________________________________________</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CURRENT REPORT</w:t>
      </w:r>
    </w:p>
    <w:p>
      <w:pPr>
        <w:spacing w:after="0" w:line="262" w:lineRule="exact"/>
        <w:rPr>
          <w:sz w:val="24"/>
          <w:szCs w:val="24"/>
          <w:color w:val="auto"/>
        </w:rPr>
      </w:pPr>
    </w:p>
    <w:p>
      <w:pPr>
        <w:ind w:left="3180"/>
        <w:spacing w:after="0"/>
        <w:rPr>
          <w:sz w:val="20"/>
          <w:szCs w:val="20"/>
          <w:color w:val="auto"/>
        </w:rPr>
      </w:pPr>
      <w:r>
        <w:rPr>
          <w:rFonts w:ascii="Arial" w:cs="Arial" w:eastAsia="Arial" w:hAnsi="Arial"/>
          <w:sz w:val="16"/>
          <w:szCs w:val="16"/>
          <w:b w:val="1"/>
          <w:bCs w:val="1"/>
          <w:color w:val="auto"/>
        </w:rPr>
        <w:t>Pursuant to Sections 13 or 15(d) of the Securities Exchange Act of 1934</w:t>
      </w:r>
    </w:p>
    <w:p>
      <w:pPr>
        <w:spacing w:after="0" w:line="63" w:lineRule="exact"/>
        <w:rPr>
          <w:sz w:val="24"/>
          <w:szCs w:val="24"/>
          <w:color w:val="auto"/>
        </w:rPr>
      </w:pPr>
    </w:p>
    <w:p>
      <w:pPr>
        <w:ind w:left="3620"/>
        <w:spacing w:after="0"/>
        <w:rPr>
          <w:sz w:val="20"/>
          <w:szCs w:val="20"/>
          <w:color w:val="auto"/>
        </w:rPr>
      </w:pPr>
      <w:r>
        <w:rPr>
          <w:rFonts w:ascii="Arial" w:cs="Arial" w:eastAsia="Arial" w:hAnsi="Arial"/>
          <w:sz w:val="16"/>
          <w:szCs w:val="16"/>
          <w:color w:val="auto"/>
        </w:rPr>
        <w:t>Date of Report (Date of earliest event reported): July 28, 2022</w:t>
      </w:r>
    </w:p>
    <w:p>
      <w:pPr>
        <w:spacing w:after="0" w:line="51" w:lineRule="exact"/>
        <w:rPr>
          <w:sz w:val="24"/>
          <w:szCs w:val="24"/>
          <w:color w:val="auto"/>
        </w:rPr>
      </w:pPr>
    </w:p>
    <w:p>
      <w:pPr>
        <w:ind w:left="3080"/>
        <w:spacing w:after="0"/>
        <w:rPr>
          <w:sz w:val="20"/>
          <w:szCs w:val="20"/>
          <w:color w:val="auto"/>
        </w:rPr>
      </w:pPr>
      <w:r>
        <w:rPr>
          <w:rFonts w:ascii="Arial" w:cs="Arial" w:eastAsia="Arial" w:hAnsi="Arial"/>
          <w:sz w:val="17"/>
          <w:szCs w:val="17"/>
          <w:b w:val="1"/>
          <w:bCs w:val="1"/>
          <w:color w:val="auto"/>
        </w:rPr>
        <w:t>_________________________________________________________</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EXLSERVICE HOLDINGS, INC.</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3" w:lineRule="exact"/>
        <w:rPr>
          <w:sz w:val="24"/>
          <w:szCs w:val="24"/>
          <w:color w:val="auto"/>
        </w:rPr>
      </w:pPr>
    </w:p>
    <w:p>
      <w:pPr>
        <w:ind w:left="3060"/>
        <w:spacing w:after="0"/>
        <w:rPr>
          <w:sz w:val="20"/>
          <w:szCs w:val="20"/>
          <w:color w:val="auto"/>
        </w:rPr>
      </w:pPr>
      <w:r>
        <w:rPr>
          <w:rFonts w:ascii="Arial" w:cs="Arial" w:eastAsia="Arial" w:hAnsi="Arial"/>
          <w:sz w:val="17"/>
          <w:szCs w:val="17"/>
          <w:b w:val="1"/>
          <w:bCs w:val="1"/>
          <w:color w:val="auto"/>
        </w:rPr>
        <w:t>_________________________________________________________</w:t>
      </w:r>
    </w:p>
    <w:p>
      <w:pPr>
        <w:sectPr>
          <w:pgSz w:w="11900" w:h="16838" w:orient="portrait"/>
          <w:cols w:equalWidth="0" w:num="1">
            <w:col w:w="11240"/>
          </w:cols>
          <w:pgMar w:left="320" w:top="1174" w:right="339" w:bottom="1440" w:gutter="0" w:footer="0" w:header="0"/>
        </w:sectPr>
      </w:pPr>
    </w:p>
    <w:p>
      <w:pPr>
        <w:spacing w:after="0" w:line="127" w:lineRule="exact"/>
        <w:rPr>
          <w:sz w:val="24"/>
          <w:szCs w:val="24"/>
          <w:color w:val="auto"/>
        </w:rPr>
      </w:pPr>
    </w:p>
    <w:p>
      <w:pPr>
        <w:ind w:left="154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jc w:val="center"/>
        <w:ind w:right="2300"/>
        <w:spacing w:after="0"/>
        <w:rPr>
          <w:sz w:val="20"/>
          <w:szCs w:val="20"/>
          <w:color w:val="auto"/>
        </w:rPr>
      </w:pPr>
      <w:r>
        <w:rPr>
          <w:rFonts w:ascii="Arial" w:cs="Arial" w:eastAsia="Arial" w:hAnsi="Arial"/>
          <w:sz w:val="14"/>
          <w:szCs w:val="14"/>
          <w:b w:val="1"/>
          <w:bCs w:val="1"/>
          <w:color w:val="auto"/>
        </w:rPr>
        <w:t>001-33089</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82-0572194</w:t>
      </w:r>
    </w:p>
    <w:p>
      <w:pPr>
        <w:spacing w:after="0" w:line="51" w:lineRule="exact"/>
        <w:rPr>
          <w:sz w:val="24"/>
          <w:szCs w:val="24"/>
          <w:color w:val="auto"/>
        </w:rPr>
      </w:pPr>
    </w:p>
    <w:p>
      <w:pPr>
        <w:sectPr>
          <w:pgSz w:w="11900" w:h="16838" w:orient="portrait"/>
          <w:cols w:equalWidth="0" w:num="3">
            <w:col w:w="4540" w:space="720"/>
            <w:col w:w="3000" w:space="720"/>
            <w:col w:w="2260"/>
          </w:cols>
          <w:pgMar w:left="320" w:top="1174" w:right="339" w:bottom="1440" w:gutter="0" w:footer="0" w:header="0"/>
          <w:type w:val="continuous"/>
        </w:sectPr>
      </w:pPr>
    </w:p>
    <w:p>
      <w:pPr>
        <w:jc w:val="center"/>
        <w:ind w:right="260"/>
        <w:spacing w:after="0"/>
        <w:rPr>
          <w:sz w:val="20"/>
          <w:szCs w:val="20"/>
          <w:color w:val="auto"/>
        </w:rPr>
      </w:pPr>
      <w:r>
        <w:rPr>
          <w:rFonts w:ascii="Arial" w:cs="Arial" w:eastAsia="Arial" w:hAnsi="Arial"/>
          <w:sz w:val="16"/>
          <w:szCs w:val="16"/>
          <w:color w:val="auto"/>
        </w:rPr>
        <w:t>(State or other jurisdiction</w:t>
      </w:r>
    </w:p>
    <w:p>
      <w:pPr>
        <w:jc w:val="center"/>
        <w:ind w:right="260"/>
        <w:spacing w:after="0"/>
        <w:rPr>
          <w:sz w:val="20"/>
          <w:szCs w:val="20"/>
          <w:color w:val="auto"/>
        </w:rPr>
      </w:pPr>
      <w:r>
        <w:rPr>
          <w:rFonts w:ascii="Arial" w:cs="Arial" w:eastAsia="Arial" w:hAnsi="Arial"/>
          <w:sz w:val="15"/>
          <w:szCs w:val="15"/>
          <w:color w:val="auto"/>
        </w:rPr>
        <w:t>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(Commission 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5"/>
          <w:szCs w:val="15"/>
          <w:color w:val="auto"/>
        </w:rPr>
        <w:t>(I.R.S. Employer</w:t>
      </w:r>
    </w:p>
    <w:p>
      <w:pPr>
        <w:spacing w:after="0" w:line="4" w:lineRule="exact"/>
        <w:rPr>
          <w:sz w:val="24"/>
          <w:szCs w:val="24"/>
          <w:color w:val="auto"/>
        </w:rPr>
      </w:pPr>
    </w:p>
    <w:p>
      <w:pPr>
        <w:spacing w:after="0"/>
        <w:rPr>
          <w:sz w:val="20"/>
          <w:szCs w:val="20"/>
          <w:color w:val="auto"/>
        </w:rPr>
      </w:pPr>
      <w:r>
        <w:rPr>
          <w:rFonts w:ascii="Arial" w:cs="Arial" w:eastAsia="Arial" w:hAnsi="Arial"/>
          <w:sz w:val="15"/>
          <w:szCs w:val="15"/>
          <w:color w:val="auto"/>
        </w:rPr>
        <w:t>Identification No.)</w:t>
      </w:r>
    </w:p>
    <w:p>
      <w:pPr>
        <w:spacing w:after="0" w:line="200" w:lineRule="exact"/>
        <w:rPr>
          <w:sz w:val="24"/>
          <w:szCs w:val="24"/>
          <w:color w:val="auto"/>
        </w:rPr>
      </w:pPr>
    </w:p>
    <w:p>
      <w:pPr>
        <w:sectPr>
          <w:pgSz w:w="11900" w:h="16838" w:orient="portrait"/>
          <w:cols w:equalWidth="0" w:num="3">
            <w:col w:w="4000" w:space="720"/>
            <w:col w:w="3320" w:space="720"/>
            <w:col w:w="2480"/>
          </w:cols>
          <w:pgMar w:left="320" w:top="1174" w:right="339" w:bottom="1440" w:gutter="0" w:footer="0" w:header="0"/>
          <w:type w:val="continuous"/>
        </w:sectPr>
      </w:pPr>
    </w:p>
    <w:p>
      <w:pPr>
        <w:spacing w:after="0" w:line="190" w:lineRule="exact"/>
        <w:rPr>
          <w:sz w:val="24"/>
          <w:szCs w:val="24"/>
          <w:color w:val="auto"/>
        </w:rPr>
      </w:pPr>
    </w:p>
    <w:p>
      <w:pPr>
        <w:ind w:left="4480"/>
        <w:spacing w:after="0"/>
        <w:rPr>
          <w:sz w:val="20"/>
          <w:szCs w:val="20"/>
          <w:color w:val="auto"/>
        </w:rPr>
      </w:pPr>
      <w:r>
        <w:rPr>
          <w:rFonts w:ascii="Arial" w:cs="Arial" w:eastAsia="Arial" w:hAnsi="Arial"/>
          <w:sz w:val="14"/>
          <w:szCs w:val="14"/>
          <w:b w:val="1"/>
          <w:bCs w:val="1"/>
          <w:color w:val="auto"/>
        </w:rPr>
        <w:t>320 Park Avenue, 29th Floor,</w:t>
      </w:r>
    </w:p>
    <w:p>
      <w:pPr>
        <w:spacing w:after="0" w:line="20" w:lineRule="exact"/>
        <w:rPr>
          <w:sz w:val="24"/>
          <w:szCs w:val="24"/>
          <w:color w:val="auto"/>
        </w:rPr>
      </w:pPr>
      <w:r>
        <w:rPr>
          <w:sz w:val="24"/>
          <w:szCs w:val="24"/>
          <w:color w:val="auto"/>
        </w:rPr>
        <w:br w:type="column"/>
      </w:r>
    </w:p>
    <w:p>
      <w:pPr>
        <w:spacing w:after="0" w:line="170"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10022</w:t>
      </w:r>
    </w:p>
    <w:p>
      <w:pPr>
        <w:spacing w:after="0" w:line="55" w:lineRule="exact"/>
        <w:rPr>
          <w:sz w:val="24"/>
          <w:szCs w:val="24"/>
          <w:color w:val="auto"/>
        </w:rPr>
      </w:pPr>
    </w:p>
    <w:p>
      <w:pPr>
        <w:sectPr>
          <w:pgSz w:w="11900" w:h="16838" w:orient="portrait"/>
          <w:cols w:equalWidth="0" w:num="2">
            <w:col w:w="7620" w:space="720"/>
            <w:col w:w="2900"/>
          </w:cols>
          <w:pgMar w:left="320" w:top="1174" w:right="339" w:bottom="1440" w:gutter="0" w:footer="0" w:header="0"/>
          <w:type w:val="continuous"/>
        </w:sectPr>
      </w:pPr>
    </w:p>
    <w:p>
      <w:pPr>
        <w:ind w:left="4960"/>
        <w:spacing w:after="0"/>
        <w:rPr>
          <w:sz w:val="20"/>
          <w:szCs w:val="20"/>
          <w:color w:val="auto"/>
        </w:rPr>
      </w:pPr>
      <w:r>
        <w:rPr>
          <w:rFonts w:ascii="Arial" w:cs="Arial" w:eastAsia="Arial" w:hAnsi="Arial"/>
          <w:sz w:val="15"/>
          <w:szCs w:val="15"/>
          <w:b w:val="1"/>
          <w:bCs w:val="1"/>
          <w:color w:val="auto"/>
        </w:rPr>
        <w:t>New York, New York</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(Zip code)</w:t>
      </w:r>
    </w:p>
    <w:p>
      <w:pPr>
        <w:spacing w:after="0" w:line="44" w:lineRule="exact"/>
        <w:rPr>
          <w:sz w:val="24"/>
          <w:szCs w:val="24"/>
          <w:color w:val="auto"/>
        </w:rPr>
      </w:pPr>
    </w:p>
    <w:p>
      <w:pPr>
        <w:sectPr>
          <w:pgSz w:w="11900" w:h="16838" w:orient="portrait"/>
          <w:cols w:equalWidth="0" w:num="2">
            <w:col w:w="7480" w:space="720"/>
            <w:col w:w="3040"/>
          </w:cols>
          <w:pgMar w:left="320" w:top="1174" w:right="339" w:bottom="1440" w:gutter="0" w:footer="0" w:header="0"/>
          <w:type w:val="continuous"/>
        </w:sectPr>
      </w:pPr>
    </w:p>
    <w:p>
      <w:pPr>
        <w:ind w:left="4580"/>
        <w:spacing w:after="0"/>
        <w:rPr>
          <w:sz w:val="20"/>
          <w:szCs w:val="20"/>
          <w:color w:val="auto"/>
        </w:rPr>
      </w:pPr>
      <w:r>
        <w:rPr>
          <w:rFonts w:ascii="Arial" w:cs="Arial" w:eastAsia="Arial" w:hAnsi="Arial"/>
          <w:sz w:val="16"/>
          <w:szCs w:val="16"/>
          <w:color w:val="auto"/>
        </w:rPr>
        <w:t>(Address of principal executive offices)</w:t>
      </w:r>
    </w:p>
    <w:p>
      <w:pPr>
        <w:spacing w:after="0" w:line="163" w:lineRule="exact"/>
        <w:rPr>
          <w:sz w:val="24"/>
          <w:szCs w:val="24"/>
          <w:color w:val="auto"/>
        </w:rPr>
      </w:pPr>
    </w:p>
    <w:p>
      <w:pPr>
        <w:ind w:left="3420"/>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4"/>
          <w:szCs w:val="14"/>
          <w:b w:val="1"/>
          <w:bCs w:val="1"/>
          <w:color w:val="auto"/>
        </w:rPr>
        <w:t>(212) 277-7100</w:t>
      </w:r>
    </w:p>
    <w:p>
      <w:pPr>
        <w:spacing w:after="0" w:line="29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NOT APPLICABLE</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or address, if changed since last report)</w:t>
      </w:r>
    </w:p>
    <w:p>
      <w:pPr>
        <w:spacing w:after="0" w:line="3" w:lineRule="exact"/>
        <w:rPr>
          <w:sz w:val="24"/>
          <w:szCs w:val="24"/>
          <w:color w:val="auto"/>
        </w:rPr>
      </w:pPr>
    </w:p>
    <w:p>
      <w:pPr>
        <w:ind w:left="3640"/>
        <w:spacing w:after="0"/>
        <w:rPr>
          <w:sz w:val="20"/>
          <w:szCs w:val="20"/>
          <w:color w:val="auto"/>
        </w:rPr>
      </w:pPr>
      <w:r>
        <w:rPr>
          <w:rFonts w:ascii="Arial" w:cs="Arial" w:eastAsia="Arial" w:hAnsi="Arial"/>
          <w:sz w:val="17"/>
          <w:szCs w:val="17"/>
          <w:b w:val="1"/>
          <w:bCs w:val="1"/>
          <w:color w:val="auto"/>
        </w:rPr>
        <w:t>____________________________________________</w:t>
      </w:r>
    </w:p>
    <w:p>
      <w:pPr>
        <w:sectPr>
          <w:pgSz w:w="11900" w:h="16838" w:orient="portrait"/>
          <w:cols w:equalWidth="0" w:num="1">
            <w:col w:w="11240"/>
          </w:cols>
          <w:pgMar w:left="320" w:top="1174" w:right="339" w:bottom="1440" w:gutter="0" w:footer="0" w:header="0"/>
          <w:type w:val="continuous"/>
        </w:sectPr>
      </w:pPr>
    </w:p>
    <w:p>
      <w:pPr>
        <w:spacing w:after="0" w:line="266"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121" w:lineRule="exact"/>
        <w:rPr>
          <w:sz w:val="24"/>
          <w:szCs w:val="24"/>
          <w:color w:val="auto"/>
        </w:rPr>
      </w:pPr>
    </w:p>
    <w:p>
      <w:pPr>
        <w:ind w:left="620" w:hanging="594"/>
        <w:spacing w:after="0"/>
        <w:tabs>
          <w:tab w:leader="none" w:pos="620" w:val="left"/>
        </w:tabs>
        <w:numPr>
          <w:ilvl w:val="0"/>
          <w:numId w:val="1"/>
        </w:numPr>
        <w:rPr>
          <w:rFonts w:ascii="MS PGothic" w:cs="MS PGothic" w:eastAsia="MS PGothic" w:hAnsi="MS PGothic"/>
          <w:sz w:val="22"/>
          <w:szCs w:val="22"/>
          <w:color w:val="auto"/>
        </w:rPr>
      </w:pPr>
      <w:r>
        <w:rPr>
          <w:rFonts w:ascii="Arial" w:cs="Arial" w:eastAsia="Arial" w:hAnsi="Arial"/>
          <w:sz w:val="16"/>
          <w:szCs w:val="16"/>
          <w:color w:val="auto"/>
        </w:rPr>
        <w:t>Written communication pursuant to Rule 425 under the Securities Act (17 CFR 230.425)</w:t>
      </w:r>
    </w:p>
    <w:p>
      <w:pPr>
        <w:spacing w:after="0" w:line="168" w:lineRule="exact"/>
        <w:rPr>
          <w:rFonts w:ascii="MS PGothic" w:cs="MS PGothic" w:eastAsia="MS PGothic" w:hAnsi="MS PGothic"/>
          <w:sz w:val="22"/>
          <w:szCs w:val="22"/>
          <w:color w:val="auto"/>
        </w:rPr>
      </w:pPr>
    </w:p>
    <w:p>
      <w:pPr>
        <w:ind w:left="620" w:hanging="594"/>
        <w:spacing w:after="0"/>
        <w:tabs>
          <w:tab w:leader="none" w:pos="620" w:val="left"/>
        </w:tabs>
        <w:numPr>
          <w:ilvl w:val="0"/>
          <w:numId w:val="1"/>
        </w:numPr>
        <w:rPr>
          <w:rFonts w:ascii="MS PGothic" w:cs="MS PGothic" w:eastAsia="MS PGothic" w:hAnsi="MS PGothic"/>
          <w:sz w:val="22"/>
          <w:szCs w:val="22"/>
          <w:color w:val="auto"/>
        </w:rPr>
      </w:pPr>
      <w:r>
        <w:rPr>
          <w:rFonts w:ascii="Arial" w:cs="Arial" w:eastAsia="Arial" w:hAnsi="Arial"/>
          <w:sz w:val="16"/>
          <w:szCs w:val="16"/>
          <w:color w:val="auto"/>
        </w:rPr>
        <w:t>Soliciting material pursuant to Rule 14a-12 under the Exchange Act (17 CFR 240.14a-12)</w:t>
      </w:r>
    </w:p>
    <w:p>
      <w:pPr>
        <w:spacing w:after="0" w:line="168" w:lineRule="exact"/>
        <w:rPr>
          <w:rFonts w:ascii="MS PGothic" w:cs="MS PGothic" w:eastAsia="MS PGothic" w:hAnsi="MS PGothic"/>
          <w:sz w:val="22"/>
          <w:szCs w:val="22"/>
          <w:color w:val="auto"/>
        </w:rPr>
      </w:pPr>
    </w:p>
    <w:p>
      <w:pPr>
        <w:ind w:left="620" w:hanging="594"/>
        <w:spacing w:after="0"/>
        <w:tabs>
          <w:tab w:leader="none" w:pos="620" w:val="left"/>
        </w:tabs>
        <w:numPr>
          <w:ilvl w:val="0"/>
          <w:numId w:val="1"/>
        </w:numPr>
        <w:rPr>
          <w:rFonts w:ascii="MS PGothic" w:cs="MS PGothic" w:eastAsia="MS PGothic" w:hAnsi="MS PGothic"/>
          <w:sz w:val="22"/>
          <w:szCs w:val="22"/>
          <w:color w:val="auto"/>
        </w:rPr>
      </w:pPr>
      <w:r>
        <w:rPr>
          <w:rFonts w:ascii="Arial" w:cs="Arial" w:eastAsia="Arial" w:hAnsi="Arial"/>
          <w:sz w:val="16"/>
          <w:szCs w:val="16"/>
          <w:color w:val="auto"/>
        </w:rPr>
        <w:t>Pre-commencement communications pursuant to Rule 14d-2(b) under the Exchange Act (17 CFR 240.14d-2(b))</w:t>
      </w:r>
    </w:p>
    <w:p>
      <w:pPr>
        <w:spacing w:after="0" w:line="155" w:lineRule="exact"/>
        <w:rPr>
          <w:rFonts w:ascii="MS PGothic" w:cs="MS PGothic" w:eastAsia="MS PGothic" w:hAnsi="MS PGothic"/>
          <w:sz w:val="22"/>
          <w:szCs w:val="22"/>
          <w:color w:val="auto"/>
        </w:rPr>
      </w:pPr>
    </w:p>
    <w:p>
      <w:pPr>
        <w:ind w:left="620" w:hanging="594"/>
        <w:spacing w:after="0"/>
        <w:tabs>
          <w:tab w:leader="none" w:pos="620" w:val="left"/>
        </w:tabs>
        <w:numPr>
          <w:ilvl w:val="0"/>
          <w:numId w:val="1"/>
        </w:numPr>
        <w:rPr>
          <w:rFonts w:ascii="MS PGothic" w:cs="MS PGothic" w:eastAsia="MS PGothic" w:hAnsi="MS PGothic"/>
          <w:sz w:val="22"/>
          <w:szCs w:val="22"/>
          <w:color w:val="auto"/>
        </w:rPr>
      </w:pPr>
      <w:r>
        <w:rPr>
          <w:rFonts w:ascii="Arial" w:cs="Arial" w:eastAsia="Arial" w:hAnsi="Arial"/>
          <w:sz w:val="16"/>
          <w:szCs w:val="16"/>
          <w:color w:val="auto"/>
        </w:rPr>
        <w:t>Pre-commencement communications pursuant to Rule 13e-4(c) under the Exchange Act (17 CFR 240.13e-4(c))</w:t>
      </w:r>
    </w:p>
    <w:p>
      <w:pPr>
        <w:spacing w:after="0" w:line="388" w:lineRule="exact"/>
        <w:rPr>
          <w:sz w:val="24"/>
          <w:szCs w:val="24"/>
          <w:color w:val="auto"/>
        </w:rPr>
      </w:pPr>
    </w:p>
    <w:p>
      <w:pPr>
        <w:spacing w:after="0" w:line="275"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83" w:lineRule="exact"/>
        <w:rPr>
          <w:sz w:val="24"/>
          <w:szCs w:val="24"/>
          <w:color w:val="auto"/>
        </w:rPr>
      </w:pPr>
    </w:p>
    <w:p>
      <w:pPr>
        <w:ind w:left="620" w:hanging="594"/>
        <w:spacing w:after="0"/>
        <w:tabs>
          <w:tab w:leader="none" w:pos="620" w:val="left"/>
        </w:tabs>
        <w:numPr>
          <w:ilvl w:val="0"/>
          <w:numId w:val="2"/>
        </w:numPr>
        <w:rPr>
          <w:rFonts w:ascii="MS PGothic" w:cs="MS PGothic" w:eastAsia="MS PGothic" w:hAnsi="MS PGothic"/>
          <w:sz w:val="22"/>
          <w:szCs w:val="22"/>
          <w:color w:val="auto"/>
        </w:rPr>
      </w:pPr>
      <w:r>
        <w:rPr>
          <w:rFonts w:ascii="Arial" w:cs="Arial" w:eastAsia="Arial" w:hAnsi="Arial"/>
          <w:sz w:val="16"/>
          <w:szCs w:val="16"/>
          <w:color w:val="auto"/>
        </w:rPr>
        <w:t>Emerging growth company</w:t>
      </w:r>
    </w:p>
    <w:p>
      <w:pPr>
        <w:spacing w:after="0" w:line="225" w:lineRule="exact"/>
        <w:rPr>
          <w:rFonts w:ascii="MS PGothic" w:cs="MS PGothic" w:eastAsia="MS PGothic" w:hAnsi="MS PGothic"/>
          <w:sz w:val="22"/>
          <w:szCs w:val="22"/>
          <w:color w:val="auto"/>
        </w:rPr>
      </w:pPr>
    </w:p>
    <w:p>
      <w:pPr>
        <w:ind w:left="620" w:right="480" w:hanging="594"/>
        <w:spacing w:after="0" w:line="217" w:lineRule="auto"/>
        <w:tabs>
          <w:tab w:leader="none" w:pos="620" w:val="left"/>
        </w:tabs>
        <w:numPr>
          <w:ilvl w:val="0"/>
          <w:numId w:val="2"/>
        </w:numPr>
        <w:rPr>
          <w:rFonts w:ascii="MS PGothic" w:cs="MS PGothic" w:eastAsia="MS PGothic" w:hAnsi="MS PGothic"/>
          <w:sz w:val="22"/>
          <w:szCs w:val="22"/>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72390</wp:posOffset>
            </wp:positionV>
            <wp:extent cx="7123430" cy="4457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23430" cy="445770"/>
                    </a:xfrm>
                    <a:prstGeom prst="rect">
                      <a:avLst/>
                    </a:prstGeom>
                    <a:noFill/>
                  </pic:spPr>
                </pic:pic>
              </a:graphicData>
            </a:graphic>
          </wp:anchor>
        </w:drawing>
      </w:r>
    </w:p>
    <w:p>
      <w:pPr>
        <w:spacing w:after="0" w:line="10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26" w:lineRule="exact"/>
        <w:rPr>
          <w:sz w:val="24"/>
          <w:szCs w:val="24"/>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32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Trading Symbol(s)</w:t>
            </w:r>
          </w:p>
        </w:tc>
        <w:tc>
          <w:tcPr>
            <w:tcW w:w="42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209"/>
        </w:trPr>
        <w:tc>
          <w:tcPr>
            <w:tcW w:w="20" w:type="dxa"/>
            <w:vAlign w:val="bottom"/>
          </w:tcPr>
          <w:p>
            <w:pPr>
              <w:spacing w:after="0"/>
              <w:rPr>
                <w:sz w:val="18"/>
                <w:szCs w:val="18"/>
                <w:color w:val="auto"/>
              </w:rPr>
            </w:pP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Common Stock, $0.001 par value per share</w:t>
            </w:r>
          </w:p>
        </w:tc>
        <w:tc>
          <w:tcPr>
            <w:tcW w:w="3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EXLS</w:t>
            </w:r>
          </w:p>
        </w:tc>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NASDAQ</w:t>
            </w:r>
          </w:p>
        </w:tc>
      </w:tr>
      <w:tr>
        <w:trPr>
          <w:trHeight w:val="361"/>
        </w:trPr>
        <w:tc>
          <w:tcPr>
            <w:tcW w:w="2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tcPr>
          <w:p>
            <w:pPr>
              <w:spacing w:after="0"/>
              <w:rPr>
                <w:sz w:val="24"/>
                <w:szCs w:val="24"/>
                <w:color w:val="auto"/>
              </w:rPr>
            </w:pPr>
          </w:p>
        </w:tc>
      </w:tr>
      <w:tr>
        <w:trPr>
          <w:trHeight w:val="34"/>
        </w:trPr>
        <w:tc>
          <w:tcPr>
            <w:tcW w:w="2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4240" w:type="dxa"/>
            <w:vAlign w:val="bottom"/>
            <w:tcBorders>
              <w:bottom w:val="single" w:sz="8" w:color="auto"/>
            </w:tcBorders>
          </w:tcPr>
          <w:p>
            <w:pPr>
              <w:spacing w:after="0"/>
              <w:rPr>
                <w:sz w:val="2"/>
                <w:szCs w:val="2"/>
                <w:color w:val="auto"/>
              </w:rPr>
            </w:pPr>
          </w:p>
        </w:tc>
      </w:tr>
      <w:tr>
        <w:trPr>
          <w:trHeight w:val="972"/>
        </w:trPr>
        <w:tc>
          <w:tcPr>
            <w:tcW w:w="2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c>
          <w:tcPr>
            <w:tcW w:w="3240" w:type="dxa"/>
            <w:vAlign w:val="bottom"/>
            <w:tcBorders>
              <w:bottom w:val="single" w:sz="8" w:color="9A9A9A"/>
            </w:tcBorders>
          </w:tcPr>
          <w:p>
            <w:pPr>
              <w:spacing w:after="0"/>
              <w:rPr>
                <w:sz w:val="24"/>
                <w:szCs w:val="24"/>
                <w:color w:val="auto"/>
              </w:rPr>
            </w:pPr>
          </w:p>
        </w:tc>
        <w:tc>
          <w:tcPr>
            <w:tcW w:w="424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4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July 28, 2022, ExlService Holdings, Inc. (the “Company”) reported its results of operations for the three months ended June 30, 2022. A copy of the press release issued by the Company concerning the foregoing is furnished herewith as Exhibit 99.1 and is incorporated herein by reference. The information provided in Item 2.02 of this report, including Exhibit 99.1, shall not be deemed to be “filed” for purposes of Section 18 of the Securities Exchange Act of 1934, as amended.</w:t>
      </w:r>
    </w:p>
    <w:p>
      <w:pPr>
        <w:spacing w:after="0" w:line="22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020" w:type="dxa"/>
            <w:vAlign w:val="bottom"/>
            <w:gridSpan w:val="2"/>
          </w:tcPr>
          <w:p>
            <w:pPr>
              <w:ind w:left="160"/>
              <w:spacing w:after="0"/>
              <w:rPr>
                <w:sz w:val="20"/>
                <w:szCs w:val="20"/>
                <w:color w:val="auto"/>
              </w:rPr>
            </w:pPr>
            <w:r>
              <w:rPr>
                <w:rFonts w:ascii="Arial" w:cs="Arial" w:eastAsia="Arial" w:hAnsi="Arial"/>
                <w:sz w:val="18"/>
                <w:szCs w:val="18"/>
                <w:color w:val="auto"/>
              </w:rPr>
              <w:t>(d) Exhibits</w:t>
            </w:r>
          </w:p>
        </w:tc>
        <w:tc>
          <w:tcPr>
            <w:tcW w:w="88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302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8200" w:type="dxa"/>
            <w:vAlign w:val="bottom"/>
            <w:gridSpan w:val="3"/>
          </w:tcPr>
          <w:p>
            <w:pPr>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99.1</w:t>
            </w:r>
          </w:p>
        </w:tc>
        <w:tc>
          <w:tcPr>
            <w:tcW w:w="2140" w:type="dxa"/>
            <w:vAlign w:val="bottom"/>
          </w:tcPr>
          <w:p>
            <w:pPr>
              <w:spacing w:after="0"/>
              <w:rPr>
                <w:sz w:val="18"/>
                <w:szCs w:val="18"/>
                <w:color w:val="auto"/>
              </w:rPr>
            </w:pPr>
          </w:p>
        </w:tc>
        <w:tc>
          <w:tcPr>
            <w:tcW w:w="4960" w:type="dxa"/>
            <w:vAlign w:val="bottom"/>
            <w:tcBorders>
              <w:bottom w:val="single" w:sz="8" w:color="0000FF"/>
            </w:tcBorders>
            <w:gridSpan w:val="2"/>
          </w:tcPr>
          <w:p>
            <w:pPr>
              <w:spacing w:after="0"/>
              <w:rPr>
                <w:rFonts w:ascii="Arial" w:cs="Arial" w:eastAsia="Arial" w:hAnsi="Arial"/>
                <w:sz w:val="18"/>
                <w:szCs w:val="18"/>
                <w:color w:val="0000FF"/>
                <w:w w:val="88"/>
              </w:rPr>
            </w:pPr>
            <w:hyperlink w:anchor="page4">
              <w:r>
                <w:rPr>
                  <w:rFonts w:ascii="Arial" w:cs="Arial" w:eastAsia="Arial" w:hAnsi="Arial"/>
                  <w:sz w:val="18"/>
                  <w:szCs w:val="18"/>
                  <w:color w:val="0000FF"/>
                  <w:w w:val="88"/>
                </w:rPr>
                <w:t>Press Release, dated July 28, 2022 (furnished pursuant to Item 2.02).</w:t>
              </w:r>
            </w:hyperlink>
          </w:p>
        </w:tc>
        <w:tc>
          <w:tcPr>
            <w:tcW w:w="3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00" w:type="dxa"/>
            <w:vAlign w:val="bottom"/>
            <w:gridSpan w:val="2"/>
            <w:vMerge w:val="restart"/>
          </w:tcPr>
          <w:p>
            <w:pPr>
              <w:ind w:left="20"/>
              <w:spacing w:after="0"/>
              <w:rPr>
                <w:sz w:val="20"/>
                <w:szCs w:val="20"/>
                <w:color w:val="auto"/>
              </w:rPr>
            </w:pPr>
            <w:r>
              <w:rPr>
                <w:rFonts w:ascii="Arial" w:cs="Arial" w:eastAsia="Arial" w:hAnsi="Arial"/>
                <w:sz w:val="18"/>
                <w:szCs w:val="18"/>
                <w:color w:val="auto"/>
              </w:rPr>
              <w:t>104</w:t>
            </w:r>
          </w:p>
        </w:tc>
        <w:tc>
          <w:tcPr>
            <w:tcW w:w="2140" w:type="dxa"/>
            <w:vAlign w:val="bottom"/>
          </w:tcPr>
          <w:p>
            <w:pPr>
              <w:spacing w:after="0"/>
              <w:rPr>
                <w:sz w:val="17"/>
                <w:szCs w:val="17"/>
                <w:color w:val="auto"/>
              </w:rPr>
            </w:pPr>
          </w:p>
        </w:tc>
        <w:tc>
          <w:tcPr>
            <w:tcW w:w="8200" w:type="dxa"/>
            <w:vAlign w:val="bottom"/>
            <w:gridSpan w:val="3"/>
          </w:tcPr>
          <w:p>
            <w:pPr>
              <w:spacing w:after="0" w:line="196" w:lineRule="exact"/>
              <w:rPr>
                <w:sz w:val="20"/>
                <w:szCs w:val="20"/>
                <w:color w:val="auto"/>
              </w:rPr>
            </w:pPr>
            <w:r>
              <w:rPr>
                <w:rFonts w:ascii="Arial" w:cs="Arial" w:eastAsia="Arial" w:hAnsi="Arial"/>
                <w:sz w:val="18"/>
                <w:szCs w:val="18"/>
                <w:color w:val="auto"/>
              </w:rPr>
              <w:t>Cover Page Interactive Data File (the cover page XBRL tags are embedded within the inline</w:t>
            </w:r>
          </w:p>
        </w:tc>
        <w:tc>
          <w:tcPr>
            <w:tcW w:w="0" w:type="dxa"/>
            <w:vAlign w:val="bottom"/>
          </w:tcPr>
          <w:p>
            <w:pPr>
              <w:spacing w:after="0"/>
              <w:rPr>
                <w:sz w:val="1"/>
                <w:szCs w:val="1"/>
                <w:color w:val="auto"/>
              </w:rPr>
            </w:pPr>
          </w:p>
        </w:tc>
      </w:tr>
      <w:tr>
        <w:trPr>
          <w:trHeight w:val="230"/>
        </w:trPr>
        <w:tc>
          <w:tcPr>
            <w:tcW w:w="900" w:type="dxa"/>
            <w:vAlign w:val="bottom"/>
            <w:gridSpan w:val="2"/>
            <w:vMerge w:val="continue"/>
          </w:tcPr>
          <w:p>
            <w:pPr>
              <w:spacing w:after="0"/>
              <w:rPr>
                <w:sz w:val="20"/>
                <w:szCs w:val="20"/>
                <w:color w:val="auto"/>
              </w:rPr>
            </w:pPr>
          </w:p>
        </w:tc>
        <w:tc>
          <w:tcPr>
            <w:tcW w:w="2140" w:type="dxa"/>
            <w:vAlign w:val="bottom"/>
          </w:tcPr>
          <w:p>
            <w:pPr>
              <w:spacing w:after="0"/>
              <w:rPr>
                <w:sz w:val="20"/>
                <w:szCs w:val="20"/>
                <w:color w:val="auto"/>
              </w:rPr>
            </w:pPr>
          </w:p>
        </w:tc>
        <w:tc>
          <w:tcPr>
            <w:tcW w:w="8200" w:type="dxa"/>
            <w:vAlign w:val="bottom"/>
            <w:gridSpan w:val="3"/>
          </w:tcPr>
          <w:p>
            <w:pPr>
              <w:spacing w:after="0"/>
              <w:rPr>
                <w:sz w:val="20"/>
                <w:szCs w:val="20"/>
                <w:color w:val="auto"/>
              </w:rPr>
            </w:pPr>
            <w:r>
              <w:rPr>
                <w:rFonts w:ascii="Arial" w:cs="Arial" w:eastAsia="Arial" w:hAnsi="Arial"/>
                <w:sz w:val="18"/>
                <w:szCs w:val="18"/>
                <w:color w:val="auto"/>
              </w:rPr>
              <w:t>XBRL document)</w:t>
            </w:r>
          </w:p>
        </w:tc>
        <w:tc>
          <w:tcPr>
            <w:tcW w:w="0" w:type="dxa"/>
            <w:vAlign w:val="bottom"/>
          </w:tcPr>
          <w:p>
            <w:pPr>
              <w:spacing w:after="0"/>
              <w:rPr>
                <w:sz w:val="1"/>
                <w:szCs w:val="1"/>
                <w:color w:val="auto"/>
              </w:rPr>
            </w:pPr>
          </w:p>
        </w:tc>
      </w:tr>
      <w:tr>
        <w:trPr>
          <w:trHeight w:val="452"/>
        </w:trPr>
        <w:tc>
          <w:tcPr>
            <w:tcW w:w="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4080" w:type="dxa"/>
            <w:vAlign w:val="bottom"/>
            <w:tcBorders>
              <w:bottom w:val="single" w:sz="8" w:color="9A9A9A"/>
            </w:tcBorders>
          </w:tcPr>
          <w:p>
            <w:pPr>
              <w:spacing w:after="0"/>
              <w:rPr>
                <w:sz w:val="24"/>
                <w:szCs w:val="24"/>
                <w:color w:val="auto"/>
              </w:rPr>
            </w:pPr>
          </w:p>
        </w:tc>
        <w:tc>
          <w:tcPr>
            <w:tcW w:w="32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5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980" w:type="dxa"/>
            <w:vAlign w:val="bottom"/>
          </w:tcPr>
          <w:p>
            <w:pPr>
              <w:spacing w:after="0"/>
              <w:rPr>
                <w:sz w:val="17"/>
                <w:szCs w:val="17"/>
                <w:color w:val="auto"/>
              </w:rPr>
            </w:pPr>
          </w:p>
        </w:tc>
        <w:tc>
          <w:tcPr>
            <w:tcW w:w="8240" w:type="dxa"/>
            <w:vAlign w:val="bottom"/>
            <w:gridSpan w:val="2"/>
          </w:tcPr>
          <w:p>
            <w:pPr>
              <w:ind w:left="2000"/>
              <w:spacing w:after="0"/>
              <w:rPr>
                <w:sz w:val="20"/>
                <w:szCs w:val="20"/>
                <w:color w:val="auto"/>
              </w:rPr>
            </w:pPr>
            <w:r>
              <w:rPr>
                <w:rFonts w:ascii="Arial" w:cs="Arial" w:eastAsia="Arial" w:hAnsi="Arial"/>
                <w:sz w:val="18"/>
                <w:szCs w:val="18"/>
                <w:b w:val="1"/>
                <w:bCs w:val="1"/>
                <w:color w:val="auto"/>
              </w:rPr>
              <w:t>EXLSERVICE HOLDINGS, INC.</w:t>
            </w:r>
          </w:p>
        </w:tc>
      </w:tr>
      <w:tr>
        <w:trPr>
          <w:trHeight w:val="230"/>
        </w:trPr>
        <w:tc>
          <w:tcPr>
            <w:tcW w:w="2980" w:type="dxa"/>
            <w:vAlign w:val="bottom"/>
          </w:tcPr>
          <w:p>
            <w:pPr>
              <w:spacing w:after="0"/>
              <w:rPr>
                <w:sz w:val="20"/>
                <w:szCs w:val="20"/>
                <w:color w:val="auto"/>
              </w:rPr>
            </w:pPr>
          </w:p>
        </w:tc>
        <w:tc>
          <w:tcPr>
            <w:tcW w:w="3280" w:type="dxa"/>
            <w:vAlign w:val="bottom"/>
          </w:tcPr>
          <w:p>
            <w:pPr>
              <w:ind w:left="2000"/>
              <w:spacing w:after="0"/>
              <w:rPr>
                <w:sz w:val="20"/>
                <w:szCs w:val="20"/>
                <w:color w:val="auto"/>
              </w:rPr>
            </w:pPr>
            <w:r>
              <w:rPr>
                <w:rFonts w:ascii="Arial" w:cs="Arial" w:eastAsia="Arial" w:hAnsi="Arial"/>
                <w:sz w:val="18"/>
                <w:szCs w:val="18"/>
                <w:color w:val="auto"/>
              </w:rPr>
              <w:t>(Registrant)</w:t>
            </w:r>
          </w:p>
        </w:tc>
        <w:tc>
          <w:tcPr>
            <w:tcW w:w="4960" w:type="dxa"/>
            <w:vAlign w:val="bottom"/>
          </w:tcPr>
          <w:p>
            <w:pPr>
              <w:spacing w:after="0"/>
              <w:rPr>
                <w:sz w:val="20"/>
                <w:szCs w:val="20"/>
                <w:color w:val="auto"/>
              </w:rPr>
            </w:pPr>
          </w:p>
        </w:tc>
      </w:tr>
      <w:tr>
        <w:trPr>
          <w:trHeight w:val="742"/>
        </w:trPr>
        <w:tc>
          <w:tcPr>
            <w:tcW w:w="2980" w:type="dxa"/>
            <w:vAlign w:val="bottom"/>
          </w:tcPr>
          <w:p>
            <w:pPr>
              <w:spacing w:after="0"/>
              <w:rPr>
                <w:sz w:val="20"/>
                <w:szCs w:val="20"/>
                <w:color w:val="auto"/>
              </w:rPr>
            </w:pPr>
            <w:r>
              <w:rPr>
                <w:rFonts w:ascii="Arial" w:cs="Arial" w:eastAsia="Arial" w:hAnsi="Arial"/>
                <w:sz w:val="18"/>
                <w:szCs w:val="18"/>
                <w:color w:val="auto"/>
              </w:rPr>
              <w:t>July 28, 2022</w:t>
            </w:r>
          </w:p>
        </w:tc>
        <w:tc>
          <w:tcPr>
            <w:tcW w:w="3280" w:type="dxa"/>
            <w:vAlign w:val="bottom"/>
          </w:tcPr>
          <w:p>
            <w:pPr>
              <w:ind w:left="2000"/>
              <w:spacing w:after="0"/>
              <w:rPr>
                <w:sz w:val="20"/>
                <w:szCs w:val="20"/>
                <w:color w:val="auto"/>
              </w:rPr>
            </w:pPr>
            <w:r>
              <w:rPr>
                <w:rFonts w:ascii="Arial" w:cs="Arial" w:eastAsia="Arial" w:hAnsi="Arial"/>
                <w:sz w:val="18"/>
                <w:szCs w:val="18"/>
                <w:color w:val="auto"/>
              </w:rPr>
              <w:t>By:</w:t>
            </w:r>
          </w:p>
        </w:tc>
        <w:tc>
          <w:tcPr>
            <w:tcW w:w="4960" w:type="dxa"/>
            <w:vAlign w:val="bottom"/>
          </w:tcPr>
          <w:p>
            <w:pPr>
              <w:ind w:left="20"/>
              <w:spacing w:after="0"/>
              <w:rPr>
                <w:sz w:val="20"/>
                <w:szCs w:val="20"/>
                <w:color w:val="auto"/>
              </w:rPr>
            </w:pPr>
            <w:r>
              <w:rPr>
                <w:rFonts w:ascii="Arial" w:cs="Arial" w:eastAsia="Arial" w:hAnsi="Arial"/>
                <w:sz w:val="18"/>
                <w:szCs w:val="18"/>
                <w:color w:val="auto"/>
              </w:rPr>
              <w:t>/s/ Ajay Ayyappan</w:t>
            </w:r>
          </w:p>
        </w:tc>
      </w:tr>
      <w:tr>
        <w:trPr>
          <w:trHeight w:val="27"/>
        </w:trPr>
        <w:tc>
          <w:tcPr>
            <w:tcW w:w="2980" w:type="dxa"/>
            <w:vAlign w:val="bottom"/>
          </w:tcPr>
          <w:p>
            <w:pPr>
              <w:spacing w:after="0"/>
              <w:rPr>
                <w:sz w:val="2"/>
                <w:szCs w:val="2"/>
                <w:color w:val="auto"/>
              </w:rPr>
            </w:pPr>
          </w:p>
        </w:tc>
        <w:tc>
          <w:tcPr>
            <w:tcW w:w="3280" w:type="dxa"/>
            <w:vAlign w:val="bottom"/>
          </w:tcPr>
          <w:p>
            <w:pPr>
              <w:spacing w:after="0"/>
              <w:rPr>
                <w:sz w:val="2"/>
                <w:szCs w:val="2"/>
                <w:color w:val="auto"/>
              </w:rPr>
            </w:pPr>
          </w:p>
        </w:tc>
        <w:tc>
          <w:tcPr>
            <w:tcW w:w="4960" w:type="dxa"/>
            <w:vAlign w:val="bottom"/>
            <w:tcBorders>
              <w:bottom w:val="single" w:sz="8" w:color="auto"/>
            </w:tcBorders>
          </w:tcPr>
          <w:p>
            <w:pPr>
              <w:spacing w:after="0"/>
              <w:rPr>
                <w:sz w:val="2"/>
                <w:szCs w:val="2"/>
                <w:color w:val="auto"/>
              </w:rPr>
            </w:pPr>
          </w:p>
        </w:tc>
      </w:tr>
      <w:tr>
        <w:trPr>
          <w:trHeight w:val="236"/>
        </w:trPr>
        <w:tc>
          <w:tcPr>
            <w:tcW w:w="2980" w:type="dxa"/>
            <w:vAlign w:val="bottom"/>
          </w:tcPr>
          <w:p>
            <w:pPr>
              <w:spacing w:after="0"/>
              <w:rPr>
                <w:sz w:val="20"/>
                <w:szCs w:val="20"/>
                <w:color w:val="auto"/>
              </w:rPr>
            </w:pPr>
          </w:p>
        </w:tc>
        <w:tc>
          <w:tcPr>
            <w:tcW w:w="3280" w:type="dxa"/>
            <w:vAlign w:val="bottom"/>
          </w:tcPr>
          <w:p>
            <w:pPr>
              <w:ind w:left="2000"/>
              <w:spacing w:after="0"/>
              <w:rPr>
                <w:sz w:val="20"/>
                <w:szCs w:val="20"/>
                <w:color w:val="auto"/>
              </w:rPr>
            </w:pPr>
            <w:r>
              <w:rPr>
                <w:rFonts w:ascii="Arial" w:cs="Arial" w:eastAsia="Arial" w:hAnsi="Arial"/>
                <w:sz w:val="18"/>
                <w:szCs w:val="18"/>
                <w:color w:val="auto"/>
              </w:rPr>
              <w:t>Name:</w:t>
            </w:r>
          </w:p>
        </w:tc>
        <w:tc>
          <w:tcPr>
            <w:tcW w:w="4960" w:type="dxa"/>
            <w:vAlign w:val="bottom"/>
          </w:tcPr>
          <w:p>
            <w:pPr>
              <w:ind w:left="20"/>
              <w:spacing w:after="0"/>
              <w:rPr>
                <w:sz w:val="20"/>
                <w:szCs w:val="20"/>
                <w:color w:val="auto"/>
              </w:rPr>
            </w:pPr>
            <w:r>
              <w:rPr>
                <w:rFonts w:ascii="Arial" w:cs="Arial" w:eastAsia="Arial" w:hAnsi="Arial"/>
                <w:sz w:val="18"/>
                <w:szCs w:val="18"/>
                <w:color w:val="auto"/>
              </w:rPr>
              <w:t>Ajay Ayyappan</w:t>
            </w:r>
          </w:p>
        </w:tc>
      </w:tr>
      <w:tr>
        <w:trPr>
          <w:trHeight w:val="230"/>
        </w:trPr>
        <w:tc>
          <w:tcPr>
            <w:tcW w:w="2980" w:type="dxa"/>
            <w:vAlign w:val="bottom"/>
          </w:tcPr>
          <w:p>
            <w:pPr>
              <w:spacing w:after="0"/>
              <w:rPr>
                <w:sz w:val="20"/>
                <w:szCs w:val="20"/>
                <w:color w:val="auto"/>
              </w:rPr>
            </w:pPr>
          </w:p>
        </w:tc>
        <w:tc>
          <w:tcPr>
            <w:tcW w:w="3280" w:type="dxa"/>
            <w:vAlign w:val="bottom"/>
          </w:tcPr>
          <w:p>
            <w:pPr>
              <w:ind w:left="2000"/>
              <w:spacing w:after="0"/>
              <w:rPr>
                <w:sz w:val="20"/>
                <w:szCs w:val="20"/>
                <w:color w:val="auto"/>
              </w:rPr>
            </w:pPr>
            <w:r>
              <w:rPr>
                <w:rFonts w:ascii="Arial" w:cs="Arial" w:eastAsia="Arial" w:hAnsi="Arial"/>
                <w:sz w:val="18"/>
                <w:szCs w:val="18"/>
                <w:color w:val="auto"/>
              </w:rPr>
              <w:t>Title:</w:t>
            </w:r>
          </w:p>
        </w:tc>
        <w:tc>
          <w:tcPr>
            <w:tcW w:w="4960" w:type="dxa"/>
            <w:vAlign w:val="bottom"/>
          </w:tcPr>
          <w:p>
            <w:pPr>
              <w:ind w:left="20"/>
              <w:spacing w:after="0"/>
              <w:rPr>
                <w:sz w:val="20"/>
                <w:szCs w:val="20"/>
                <w:color w:val="auto"/>
              </w:rPr>
            </w:pPr>
            <w:r>
              <w:rPr>
                <w:rFonts w:ascii="Arial" w:cs="Arial" w:eastAsia="Arial" w:hAnsi="Arial"/>
                <w:sz w:val="18"/>
                <w:szCs w:val="18"/>
                <w:color w:val="auto"/>
              </w:rPr>
              <w:t>General Counsel and Corporate Secretary</w:t>
            </w:r>
          </w:p>
        </w:tc>
      </w:tr>
    </w:tbl>
    <w:p>
      <w:pPr>
        <w:sectPr>
          <w:pgSz w:w="11900" w:h="16838" w:orient="portrait"/>
          <w:cols w:equalWidth="0" w:num="1">
            <w:col w:w="11240"/>
          </w:cols>
          <w:pgMar w:left="320" w:top="688"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EXL REPORTS 2022 SECOND QUARTER RESULTS</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2022 Second Quarter Revenues of $346.8 Million, up 26.1% year-over-year</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Q2 Diluted Earnings Per Share (GAAP) of $1.06, up from $0.81 in Q2 of 2021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 xml:space="preserve">Q2 Adjusted Diluted Earnings Per Share (Non-GAAP) </w:t>
      </w:r>
      <w:r>
        <w:rPr>
          <w:rFonts w:ascii="Arial" w:cs="Arial" w:eastAsia="Arial" w:hAnsi="Arial"/>
          <w:sz w:val="28"/>
          <w:szCs w:val="28"/>
          <w:b w:val="1"/>
          <w:bCs w:val="1"/>
          <w:i w:val="1"/>
          <w:iCs w:val="1"/>
          <w:color w:val="auto"/>
          <w:vertAlign w:val="superscript"/>
        </w:rPr>
        <w:t>(1)</w:t>
      </w:r>
      <w:r>
        <w:rPr>
          <w:rFonts w:ascii="Arial" w:cs="Arial" w:eastAsia="Arial" w:hAnsi="Arial"/>
          <w:sz w:val="22"/>
          <w:szCs w:val="22"/>
          <w:b w:val="1"/>
          <w:bCs w:val="1"/>
          <w:i w:val="1"/>
          <w:iCs w:val="1"/>
          <w:color w:val="auto"/>
        </w:rPr>
        <w:t xml:space="preserve"> of $1.50, up from $1.14 in Q2 of 2021</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spacing w:after="0" w:line="324" w:lineRule="auto"/>
        <w:rPr>
          <w:sz w:val="20"/>
          <w:szCs w:val="20"/>
          <w:color w:val="auto"/>
        </w:rPr>
      </w:pPr>
      <w:r>
        <w:rPr>
          <w:rFonts w:ascii="Arial" w:cs="Arial" w:eastAsia="Arial" w:hAnsi="Arial"/>
          <w:sz w:val="18"/>
          <w:szCs w:val="18"/>
          <w:color w:val="auto"/>
        </w:rPr>
        <w:t>New York, NY – July 28, 2022 - ExlService Holdings, Inc. (NASDAQ: EXLS), a leading data analytics and digital operations and solutions company, today announced its financial results for the quarter ended June 30, 2022.</w:t>
      </w:r>
    </w:p>
    <w:p>
      <w:pPr>
        <w:spacing w:after="0" w:line="197" w:lineRule="exact"/>
        <w:rPr>
          <w:sz w:val="20"/>
          <w:szCs w:val="20"/>
          <w:color w:val="auto"/>
        </w:rPr>
      </w:pPr>
    </w:p>
    <w:p>
      <w:pPr>
        <w:jc w:val="both"/>
        <w:spacing w:after="0" w:line="367" w:lineRule="auto"/>
        <w:rPr>
          <w:sz w:val="20"/>
          <w:szCs w:val="20"/>
          <w:color w:val="auto"/>
        </w:rPr>
      </w:pPr>
      <w:r>
        <w:rPr>
          <w:rFonts w:ascii="Arial" w:cs="Arial" w:eastAsia="Arial" w:hAnsi="Arial"/>
          <w:sz w:val="16"/>
          <w:szCs w:val="16"/>
          <w:color w:val="auto"/>
        </w:rPr>
        <w:t>Rohit Kapoor, Vice Chairman and Chief Executive Officer, said, “EXL had a strong second quarter with revenue of $346.8 million, a 26.1% increase from the second quarter of 2021. Analytics continued to lead our growth with a 44.8% revenue increase from the second quarter of 2021. Adjusted diluted earnings per share for the quarter was $1.50, a 31.6% increase year-over-year. Our focus on data-led solutions that leverage domain expertise, AI and digital capabilities is resonating with clients and driving significant growth. Our value proposition to help our clients improve their growth and profitability remains relevant throughout the economic cycle. The market for our services remains strong as we look to the second half of 2022.”</w:t>
      </w:r>
    </w:p>
    <w:p>
      <w:pPr>
        <w:spacing w:after="0" w:line="200" w:lineRule="exact"/>
        <w:rPr>
          <w:sz w:val="20"/>
          <w:szCs w:val="20"/>
          <w:color w:val="auto"/>
        </w:rPr>
      </w:pPr>
    </w:p>
    <w:p>
      <w:pPr>
        <w:spacing w:after="0" w:line="229" w:lineRule="exact"/>
        <w:rPr>
          <w:sz w:val="20"/>
          <w:szCs w:val="20"/>
          <w:color w:val="auto"/>
        </w:rPr>
      </w:pPr>
    </w:p>
    <w:p>
      <w:pPr>
        <w:jc w:val="both"/>
        <w:spacing w:after="0" w:line="319" w:lineRule="auto"/>
        <w:rPr>
          <w:sz w:val="20"/>
          <w:szCs w:val="20"/>
          <w:color w:val="auto"/>
        </w:rPr>
      </w:pPr>
      <w:r>
        <w:rPr>
          <w:rFonts w:ascii="Arial" w:cs="Arial" w:eastAsia="Arial" w:hAnsi="Arial"/>
          <w:sz w:val="18"/>
          <w:szCs w:val="18"/>
          <w:color w:val="auto"/>
        </w:rPr>
        <w:t>Maurizio Nicolelli, Chief Financial Officer, said, “Our strong second quarter top-line growth and healthy margins drove our performance which exceeded guidance. As a result, we are increasing our revenue guidance for 2022 to be in the range of $1.35 billion to $1.37 billion, from $1.315 billion to $1.335 billion. This represents a 20% to 22% increase year-over-year on a reported basis and 17% to 19% increase year-over-year on an organic constant currency basis. We are also increasing our adjusted diluted earnings per share guidance for 2022 to $5.60 to $5.80, from $5.40 to $5.65, representing a 16% to 20% increase over the prior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__________________________________________________________</w:t>
      </w:r>
    </w:p>
    <w:p>
      <w:pPr>
        <w:spacing w:after="0" w:line="379" w:lineRule="exact"/>
        <w:rPr>
          <w:sz w:val="20"/>
          <w:szCs w:val="20"/>
          <w:color w:val="auto"/>
        </w:rPr>
      </w:pPr>
    </w:p>
    <w:p>
      <w:pPr>
        <w:jc w:val="both"/>
        <w:ind w:left="500" w:hanging="330"/>
        <w:spacing w:after="0" w:line="249" w:lineRule="auto"/>
        <w:tabs>
          <w:tab w:leader="none" w:pos="498" w:val="left"/>
        </w:tabs>
        <w:numPr>
          <w:ilvl w:val="0"/>
          <w:numId w:val="3"/>
        </w:numPr>
        <w:rPr>
          <w:rFonts w:ascii="Arial" w:cs="Arial" w:eastAsia="Arial" w:hAnsi="Arial"/>
          <w:sz w:val="14"/>
          <w:szCs w:val="14"/>
          <w:color w:val="auto"/>
        </w:rPr>
      </w:pPr>
      <w:r>
        <w:rPr>
          <w:rFonts w:ascii="Arial" w:cs="Arial" w:eastAsia="Arial" w:hAnsi="Arial"/>
          <w:sz w:val="14"/>
          <w:szCs w:val="14"/>
          <w:color w:val="auto"/>
        </w:rPr>
        <w:t>Reconciliations of adjusted (non-GAAP) financial measures to the most directly comparable GAAP measures, where applicable, are included at the end of this release under “Reconciliation of Adjusted Financial Measures to GAAP Measures”. These non-GAAP measures, including adjusted diluted EPS and constant currency measures, are not measures of financial performance prepared in accordance with GAAP.</w:t>
      </w:r>
    </w:p>
    <w:p>
      <w:pPr>
        <w:sectPr>
          <w:pgSz w:w="11900" w:h="16838" w:orient="portrait"/>
          <w:cols w:equalWidth="0" w:num="1">
            <w:col w:w="11240"/>
          </w:cols>
          <w:pgMar w:left="320" w:top="89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Financial Highlights: Second Quarter 2022</w:t>
      </w:r>
    </w:p>
    <w:p>
      <w:pPr>
        <w:spacing w:after="0" w:line="200" w:lineRule="exact"/>
        <w:rPr>
          <w:sz w:val="20"/>
          <w:szCs w:val="20"/>
          <w:color w:val="auto"/>
        </w:rPr>
      </w:pPr>
    </w:p>
    <w:p>
      <w:pPr>
        <w:spacing w:after="0" w:line="232" w:lineRule="exact"/>
        <w:rPr>
          <w:sz w:val="20"/>
          <w:szCs w:val="20"/>
          <w:color w:val="auto"/>
        </w:rPr>
      </w:pPr>
    </w:p>
    <w:p>
      <w:pPr>
        <w:jc w:val="both"/>
        <w:ind w:left="660" w:hanging="328"/>
        <w:spacing w:after="0" w:line="31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Revenues for the quarter ended June 30, 2022 increased to $346.8 million compared to $275.1 million for the second quarter of 2021, an increase of 26.1% on a reported basis and 27.6% on a constant currency basis from the second quarter of 2021. Revenues increased by 5.3% sequentially on a reported basis and 6.0% on a constant currency basis, from the first quarter of 2022.</w:t>
      </w:r>
    </w:p>
    <w:p>
      <w:pPr>
        <w:spacing w:after="0" w:line="62" w:lineRule="exact"/>
        <w:rPr>
          <w:sz w:val="20"/>
          <w:szCs w:val="20"/>
          <w:color w:val="auto"/>
        </w:rPr>
      </w:pPr>
    </w:p>
    <w:tbl>
      <w:tblPr>
        <w:tblLayout w:type="fixed"/>
        <w:tblInd w:w="660" w:type="dxa"/>
        <w:tblCellMar>
          <w:top w:w="0" w:type="dxa"/>
          <w:left w:w="0" w:type="dxa"/>
          <w:bottom w:w="0" w:type="dxa"/>
          <w:right w:w="0" w:type="dxa"/>
        </w:tblCellMar>
      </w:tblPr>
      <w:tr>
        <w:trPr>
          <w:trHeight w:val="213"/>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87"/>
              </w:rPr>
              <w:t>Revenues</w:t>
            </w: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6"/>
                <w:szCs w:val="16"/>
                <w:b w:val="1"/>
                <w:bCs w:val="1"/>
                <w:color w:val="auto"/>
                <w:w w:val="93"/>
              </w:rPr>
              <w:t>Gross Margin</w:t>
            </w:r>
          </w:p>
        </w:tc>
        <w:tc>
          <w:tcPr>
            <w:tcW w:w="9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6"/>
          </w:tcPr>
          <w:p>
            <w:pPr>
              <w:jc w:val="center"/>
              <w:ind w:left="473"/>
              <w:spacing w:after="0"/>
              <w:rPr>
                <w:sz w:val="20"/>
                <w:szCs w:val="20"/>
                <w:color w:val="auto"/>
              </w:rPr>
            </w:pPr>
            <w:r>
              <w:rPr>
                <w:rFonts w:ascii="Arial" w:cs="Arial" w:eastAsia="Arial" w:hAnsi="Arial"/>
                <w:sz w:val="16"/>
                <w:szCs w:val="16"/>
                <w:b w:val="1"/>
                <w:bCs w:val="1"/>
                <w:color w:val="auto"/>
                <w:w w:val="90"/>
              </w:rPr>
              <w:t>Three months ended</w:t>
            </w: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b w:val="1"/>
                <w:bCs w:val="1"/>
                <w:color w:val="auto"/>
                <w:w w:val="90"/>
              </w:rPr>
              <w:t>Three months ended</w:t>
            </w:r>
          </w:p>
        </w:tc>
        <w:tc>
          <w:tcPr>
            <w:tcW w:w="9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27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Reportable Segments</w:t>
            </w:r>
          </w:p>
        </w:tc>
        <w:tc>
          <w:tcPr>
            <w:tcW w:w="116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June 30, 2022</w:t>
            </w:r>
          </w:p>
        </w:tc>
        <w:tc>
          <w:tcPr>
            <w:tcW w:w="112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June 30, 2021</w:t>
            </w:r>
          </w:p>
        </w:tc>
        <w:tc>
          <w:tcPr>
            <w:tcW w:w="120" w:type="dxa"/>
            <w:vAlign w:val="bottom"/>
          </w:tcPr>
          <w:p>
            <w:pPr>
              <w:spacing w:after="0"/>
              <w:rPr>
                <w:sz w:val="21"/>
                <w:szCs w:val="21"/>
                <w:color w:val="auto"/>
              </w:rPr>
            </w:pPr>
          </w:p>
        </w:tc>
        <w:tc>
          <w:tcPr>
            <w:tcW w:w="980" w:type="dxa"/>
            <w:vAlign w:val="bottom"/>
            <w:gridSpan w:val="2"/>
          </w:tcPr>
          <w:p>
            <w:pPr>
              <w:ind w:left="20"/>
              <w:spacing w:after="0"/>
              <w:rPr>
                <w:sz w:val="20"/>
                <w:szCs w:val="20"/>
                <w:color w:val="auto"/>
              </w:rPr>
            </w:pPr>
            <w:r>
              <w:rPr>
                <w:rFonts w:ascii="Arial" w:cs="Arial" w:eastAsia="Arial" w:hAnsi="Arial"/>
                <w:sz w:val="16"/>
                <w:szCs w:val="16"/>
                <w:b w:val="1"/>
                <w:bCs w:val="1"/>
                <w:color w:val="auto"/>
              </w:rPr>
              <w:t>March 31,</w:t>
            </w:r>
          </w:p>
        </w:tc>
        <w:tc>
          <w:tcPr>
            <w:tcW w:w="1140" w:type="dxa"/>
            <w:vAlign w:val="bottom"/>
            <w:gridSpan w:val="2"/>
            <w:vMerge w:val="restart"/>
          </w:tcPr>
          <w:p>
            <w:pPr>
              <w:jc w:val="right"/>
              <w:ind w:right="10"/>
              <w:spacing w:after="0"/>
              <w:rPr>
                <w:sz w:val="20"/>
                <w:szCs w:val="20"/>
                <w:color w:val="auto"/>
              </w:rPr>
            </w:pPr>
            <w:r>
              <w:rPr>
                <w:rFonts w:ascii="Arial" w:cs="Arial" w:eastAsia="Arial" w:hAnsi="Arial"/>
                <w:sz w:val="16"/>
                <w:szCs w:val="16"/>
                <w:b w:val="1"/>
                <w:bCs w:val="1"/>
                <w:color w:val="auto"/>
                <w:w w:val="97"/>
              </w:rPr>
              <w:t>June 30, 2022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20" w:type="dxa"/>
            <w:vAlign w:val="bottom"/>
            <w:gridSpan w:val="3"/>
            <w:vMerge w:val="restart"/>
          </w:tcPr>
          <w:p>
            <w:pPr>
              <w:jc w:val="center"/>
              <w:ind w:right="60"/>
              <w:spacing w:after="0"/>
              <w:rPr>
                <w:sz w:val="20"/>
                <w:szCs w:val="20"/>
                <w:color w:val="auto"/>
              </w:rPr>
            </w:pPr>
            <w:r>
              <w:rPr>
                <w:rFonts w:ascii="Arial" w:cs="Arial" w:eastAsia="Arial" w:hAnsi="Arial"/>
                <w:sz w:val="16"/>
                <w:szCs w:val="16"/>
                <w:b w:val="1"/>
                <w:bCs w:val="1"/>
                <w:color w:val="auto"/>
                <w:w w:val="90"/>
              </w:rPr>
              <w:t>June 30, 2021</w:t>
            </w:r>
          </w:p>
        </w:tc>
        <w:tc>
          <w:tcPr>
            <w:tcW w:w="114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6"/>
              </w:rPr>
              <w:t>March 31, 2022</w:t>
            </w:r>
          </w:p>
        </w:tc>
        <w:tc>
          <w:tcPr>
            <w:tcW w:w="0" w:type="dxa"/>
            <w:vAlign w:val="bottom"/>
          </w:tcPr>
          <w:p>
            <w:pPr>
              <w:spacing w:after="0"/>
              <w:rPr>
                <w:sz w:val="1"/>
                <w:szCs w:val="1"/>
                <w:color w:val="auto"/>
              </w:rPr>
            </w:pPr>
          </w:p>
        </w:tc>
      </w:tr>
      <w:tr>
        <w:trPr>
          <w:trHeight w:val="213"/>
        </w:trPr>
        <w:tc>
          <w:tcPr>
            <w:tcW w:w="2700" w:type="dxa"/>
            <w:vAlign w:val="bottom"/>
            <w:gridSpan w:val="2"/>
            <w:vMerge w:val="continue"/>
          </w:tcPr>
          <w:p>
            <w:pPr>
              <w:spacing w:after="0"/>
              <w:rPr>
                <w:sz w:val="18"/>
                <w:szCs w:val="18"/>
                <w:color w:val="auto"/>
              </w:rPr>
            </w:pPr>
          </w:p>
        </w:tc>
        <w:tc>
          <w:tcPr>
            <w:tcW w:w="1160" w:type="dxa"/>
            <w:vAlign w:val="bottom"/>
            <w:gridSpan w:val="3"/>
            <w:vMerge w:val="continue"/>
          </w:tcPr>
          <w:p>
            <w:pPr>
              <w:spacing w:after="0"/>
              <w:rPr>
                <w:sz w:val="18"/>
                <w:szCs w:val="18"/>
                <w:color w:val="auto"/>
              </w:rPr>
            </w:pPr>
          </w:p>
        </w:tc>
        <w:tc>
          <w:tcPr>
            <w:tcW w:w="112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253"/>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3"/>
            <w:vMerge w:val="continue"/>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60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2060" w:type="dxa"/>
            <w:vAlign w:val="bottom"/>
            <w:tcBorders>
              <w:top w:val="single" w:sz="8" w:color="auto"/>
              <w:bottom w:val="single" w:sz="8" w:color="auto"/>
            </w:tcBorders>
            <w:gridSpan w:val="6"/>
          </w:tcPr>
          <w:p>
            <w:pPr>
              <w:jc w:val="center"/>
              <w:ind w:left="453"/>
              <w:spacing w:after="0"/>
              <w:rPr>
                <w:sz w:val="20"/>
                <w:szCs w:val="20"/>
                <w:color w:val="auto"/>
              </w:rPr>
            </w:pPr>
            <w:r>
              <w:rPr>
                <w:rFonts w:ascii="Arial" w:cs="Arial" w:eastAsia="Arial" w:hAnsi="Arial"/>
                <w:sz w:val="16"/>
                <w:szCs w:val="16"/>
                <w:b w:val="1"/>
                <w:bCs w:val="1"/>
                <w:color w:val="auto"/>
                <w:w w:val="92"/>
              </w:rPr>
              <w:t>(dollars in millions)</w:t>
            </w:r>
          </w:p>
        </w:tc>
        <w:tc>
          <w:tcPr>
            <w:tcW w:w="88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Insurance</w:t>
            </w:r>
          </w:p>
        </w:tc>
        <w:tc>
          <w:tcPr>
            <w:tcW w:w="3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2700" w:type="dxa"/>
            <w:vAlign w:val="bottom"/>
            <w:gridSpan w:val="2"/>
          </w:tcPr>
          <w:p>
            <w:pPr>
              <w:ind w:left="20"/>
              <w:spacing w:after="0"/>
              <w:rPr>
                <w:sz w:val="20"/>
                <w:szCs w:val="20"/>
                <w:color w:val="auto"/>
              </w:rPr>
            </w:pPr>
            <w:r>
              <w:rPr>
                <w:rFonts w:ascii="Arial" w:cs="Arial" w:eastAsia="Arial" w:hAnsi="Arial"/>
                <w:sz w:val="16"/>
                <w:szCs w:val="16"/>
                <w:color w:val="auto"/>
              </w:rPr>
              <w:t>Healthcare</w:t>
            </w: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37.4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2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Emerging Business</w:t>
            </w: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2700" w:type="dxa"/>
            <w:vAlign w:val="bottom"/>
            <w:gridSpan w:val="2"/>
          </w:tcPr>
          <w:p>
            <w:pPr>
              <w:ind w:left="20"/>
              <w:spacing w:after="0"/>
              <w:rPr>
                <w:sz w:val="20"/>
                <w:szCs w:val="20"/>
                <w:color w:val="auto"/>
              </w:rPr>
            </w:pPr>
            <w:r>
              <w:rPr>
                <w:rFonts w:ascii="Arial" w:cs="Arial" w:eastAsia="Arial" w:hAnsi="Arial"/>
                <w:sz w:val="16"/>
                <w:szCs w:val="16"/>
                <w:color w:val="auto"/>
              </w:rPr>
              <w:t>Analytics</w:t>
            </w: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161.3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111.4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149.0</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36.0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35.9</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8"/>
        </w:trPr>
        <w:tc>
          <w:tcPr>
            <w:tcW w:w="27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Total Revenues, net</w:t>
            </w:r>
          </w:p>
        </w:tc>
        <w:tc>
          <w:tcPr>
            <w:tcW w:w="34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346.8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36.2 %</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37.9 %</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37.0 %</w:t>
            </w:r>
          </w:p>
        </w:tc>
        <w:tc>
          <w:tcPr>
            <w:tcW w:w="0" w:type="dxa"/>
            <w:vAlign w:val="bottom"/>
          </w:tcPr>
          <w:p>
            <w:pPr>
              <w:spacing w:after="0"/>
              <w:rPr>
                <w:sz w:val="1"/>
                <w:szCs w:val="1"/>
                <w:color w:val="auto"/>
              </w:rPr>
            </w:pP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both"/>
        <w:ind w:left="660" w:hanging="328"/>
        <w:spacing w:after="0" w:line="326"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Operating income margin for the quarter ended June 30, 2022 was 13.6%, compared to 13.0% for the second quarter of 2021 and 13.4% for the first quarter of 2022. Adjusted operating income margin for the quarter ended June 30, 2022 was 18.7% compared to 17.9% for the second quarter of 2021 and 18.2% for the first quarter of 2022.</w:t>
      </w:r>
    </w:p>
    <w:p>
      <w:pPr>
        <w:spacing w:after="0" w:line="209" w:lineRule="exact"/>
        <w:rPr>
          <w:rFonts w:ascii="Arial" w:cs="Arial" w:eastAsia="Arial" w:hAnsi="Arial"/>
          <w:sz w:val="18"/>
          <w:szCs w:val="18"/>
          <w:color w:val="auto"/>
        </w:rPr>
      </w:pPr>
    </w:p>
    <w:p>
      <w:pPr>
        <w:jc w:val="both"/>
        <w:ind w:left="660" w:hanging="328"/>
        <w:spacing w:after="0" w:line="326"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Diluted earnings per share for the quarter ended June 30, 2022 was $1.06 compared to $0.81 for the second quarter of 2021 and $1.07 for the first quarter of 2022. Adjusted diluted earnings per share for the quarter ended June 30, 2022 was $1.50 compared to $1.14 for the second quarter of 2021 and $1.42 for the first quarter of 2022.</w:t>
      </w:r>
    </w:p>
    <w:p>
      <w:pPr>
        <w:sectPr>
          <w:pgSz w:w="11900" w:h="16838" w:orient="portrait"/>
          <w:cols w:equalWidth="0" w:num="1">
            <w:col w:w="11240"/>
          </w:cols>
          <w:pgMar w:left="320" w:top="1039"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Business Highlights: Second Quarter 2022</w:t>
      </w:r>
    </w:p>
    <w:p>
      <w:pPr>
        <w:spacing w:after="0" w:line="189" w:lineRule="exact"/>
        <w:rPr>
          <w:sz w:val="20"/>
          <w:szCs w:val="20"/>
          <w:color w:val="auto"/>
        </w:rPr>
      </w:pPr>
    </w:p>
    <w:p>
      <w:pPr>
        <w:ind w:left="240" w:hanging="232"/>
        <w:spacing w:after="0"/>
        <w:tabs>
          <w:tab w:leader="none" w:pos="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Won 10 new clients in the second quarter of 2022, with seven in our digital operations and solutions business and three in analytics.</w:t>
      </w:r>
    </w:p>
    <w:p>
      <w:pPr>
        <w:spacing w:after="0" w:line="171" w:lineRule="exact"/>
        <w:rPr>
          <w:rFonts w:ascii="Arial" w:cs="Arial" w:eastAsia="Arial" w:hAnsi="Arial"/>
          <w:sz w:val="18"/>
          <w:szCs w:val="18"/>
          <w:color w:val="auto"/>
        </w:rPr>
      </w:pPr>
    </w:p>
    <w:p>
      <w:pPr>
        <w:ind w:left="260" w:hanging="252"/>
        <w:spacing w:after="0" w:line="340" w:lineRule="auto"/>
        <w:tabs>
          <w:tab w:leader="none" w:pos="255" w:val="left"/>
        </w:tabs>
        <w:numPr>
          <w:ilvl w:val="0"/>
          <w:numId w:val="6"/>
        </w:numPr>
        <w:rPr>
          <w:rFonts w:ascii="Arial" w:cs="Arial" w:eastAsia="Arial" w:hAnsi="Arial"/>
          <w:sz w:val="18"/>
          <w:szCs w:val="18"/>
          <w:color w:val="auto"/>
        </w:rPr>
      </w:pPr>
      <w:r>
        <w:rPr>
          <w:rFonts w:ascii="Arial" w:cs="Arial" w:eastAsia="Arial" w:hAnsi="Arial"/>
          <w:sz w:val="18"/>
          <w:szCs w:val="18"/>
          <w:color w:val="auto"/>
        </w:rPr>
        <w:t>Launched a risk decisioning-as-a-service solution along with Corridor Platforms and Oliver Wyman for mid-tier banks and credit unions to deliver instant credit decisions necessary to support digital lending initiatives.</w:t>
      </w:r>
    </w:p>
    <w:p>
      <w:pPr>
        <w:spacing w:after="0" w:line="61" w:lineRule="exact"/>
        <w:rPr>
          <w:rFonts w:ascii="Arial" w:cs="Arial" w:eastAsia="Arial" w:hAnsi="Arial"/>
          <w:sz w:val="18"/>
          <w:szCs w:val="18"/>
          <w:color w:val="auto"/>
        </w:rPr>
      </w:pPr>
    </w:p>
    <w:p>
      <w:pPr>
        <w:ind w:left="240" w:hanging="232"/>
        <w:spacing w:after="0"/>
        <w:tabs>
          <w:tab w:leader="none" w:pos="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EXL recognized as a Major Performer in the IDC MarketScape: Worldwide Intelligent Automation Services 2022 Vendor Assessment.</w:t>
      </w:r>
    </w:p>
    <w:p>
      <w:pPr>
        <w:spacing w:after="0" w:line="163" w:lineRule="exact"/>
        <w:rPr>
          <w:rFonts w:ascii="Arial" w:cs="Arial" w:eastAsia="Arial" w:hAnsi="Arial"/>
          <w:sz w:val="18"/>
          <w:szCs w:val="18"/>
          <w:color w:val="auto"/>
        </w:rPr>
      </w:pPr>
    </w:p>
    <w:p>
      <w:pPr>
        <w:ind w:left="240" w:hanging="232"/>
        <w:spacing w:after="0"/>
        <w:tabs>
          <w:tab w:leader="none" w:pos="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EXL recognized as a Leader in the 2022 Gartner® Magic Quadrant™ for Finance and Accounting Business Process Outsourcing</w:t>
      </w:r>
      <w:r>
        <w:rPr>
          <w:rFonts w:ascii="Arial" w:cs="Arial" w:eastAsia="Arial" w:hAnsi="Arial"/>
          <w:sz w:val="23"/>
          <w:szCs w:val="23"/>
          <w:b w:val="1"/>
          <w:bCs w:val="1"/>
          <w:color w:val="auto"/>
          <w:vertAlign w:val="superscript"/>
        </w:rPr>
        <w:t>(2)</w:t>
      </w:r>
      <w:r>
        <w:rPr>
          <w:rFonts w:ascii="Arial" w:cs="Arial" w:eastAsia="Arial" w:hAnsi="Arial"/>
          <w:sz w:val="18"/>
          <w:szCs w:val="18"/>
          <w:color w:val="auto"/>
        </w:rPr>
        <w:t>.</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2022 Guidance</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Based on current visibility, and a U.S. Dollar to Indian Rupee exchange rate of 79.0, British Pound to U.S. Dollar exchange rate of 1.25, U.S. Dollar to the</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Philippine Peso exchange rate of 54.5 and all other currencies at current exchange rates, we are providing the following guidance for the full year 2022:</w:t>
      </w:r>
    </w:p>
    <w:p>
      <w:pPr>
        <w:spacing w:after="0" w:line="356" w:lineRule="exact"/>
        <w:rPr>
          <w:sz w:val="20"/>
          <w:szCs w:val="20"/>
          <w:color w:val="auto"/>
        </w:rPr>
      </w:pPr>
    </w:p>
    <w:p>
      <w:pPr>
        <w:ind w:left="660" w:hanging="328"/>
        <w:spacing w:after="0" w:line="286" w:lineRule="auto"/>
        <w:tabs>
          <w:tab w:leader="none" w:pos="655" w:val="left"/>
        </w:tabs>
        <w:numPr>
          <w:ilvl w:val="0"/>
          <w:numId w:val="7"/>
        </w:numPr>
        <w:rPr>
          <w:rFonts w:ascii="Arial" w:cs="Arial" w:eastAsia="Arial" w:hAnsi="Arial"/>
          <w:sz w:val="22"/>
          <w:szCs w:val="22"/>
          <w:color w:val="auto"/>
        </w:rPr>
      </w:pPr>
      <w:r>
        <w:rPr>
          <w:rFonts w:ascii="Arial" w:cs="Arial" w:eastAsia="Arial" w:hAnsi="Arial"/>
          <w:sz w:val="18"/>
          <w:szCs w:val="18"/>
          <w:color w:val="auto"/>
        </w:rPr>
        <w:t>Revenue of $1.35 billion to $1.37 billion, representing an increase of 20% to 22% on a reported basis, and 17% to 19% on an organic constant currency basis from 2021.</w:t>
      </w:r>
    </w:p>
    <w:p>
      <w:pPr>
        <w:spacing w:after="0" w:line="239" w:lineRule="exact"/>
        <w:rPr>
          <w:rFonts w:ascii="Arial" w:cs="Arial" w:eastAsia="Arial" w:hAnsi="Arial"/>
          <w:sz w:val="22"/>
          <w:szCs w:val="22"/>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Arial" w:cs="Arial" w:eastAsia="Arial" w:hAnsi="Arial"/>
          <w:sz w:val="18"/>
          <w:szCs w:val="18"/>
          <w:color w:val="auto"/>
        </w:rPr>
        <w:t>Adjusted diluted earnings per share of $5.60 to $5.80, representing an increase of 16% to 20% from 2021.</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Conference Call</w:t>
      </w:r>
    </w:p>
    <w:p>
      <w:pPr>
        <w:spacing w:after="0" w:line="293" w:lineRule="exact"/>
        <w:rPr>
          <w:sz w:val="20"/>
          <w:szCs w:val="20"/>
          <w:color w:val="auto"/>
        </w:rPr>
      </w:pPr>
    </w:p>
    <w:p>
      <w:pPr>
        <w:jc w:val="both"/>
        <w:spacing w:after="0" w:line="306" w:lineRule="auto"/>
        <w:rPr>
          <w:sz w:val="20"/>
          <w:szCs w:val="20"/>
          <w:color w:val="auto"/>
        </w:rPr>
      </w:pPr>
      <w:r>
        <w:rPr>
          <w:rFonts w:ascii="Arial" w:cs="Arial" w:eastAsia="Arial" w:hAnsi="Arial"/>
          <w:sz w:val="18"/>
          <w:szCs w:val="18"/>
          <w:color w:val="auto"/>
        </w:rPr>
        <w:t xml:space="preserve">ExlService Holdings, Inc. will host a conference call on Thursday, July 28, 2022 at 10:00 A.M. ET to discuss the Company’s quarterly operating and financial results. The conference call will be available live via the internet by accessing the investor relations section of EXL’s website at </w:t>
      </w:r>
      <w:r>
        <w:rPr>
          <w:rFonts w:ascii="Arial" w:cs="Arial" w:eastAsia="Arial" w:hAnsi="Arial"/>
          <w:sz w:val="18"/>
          <w:szCs w:val="18"/>
          <w:u w:val="single" w:color="auto"/>
          <w:color w:val="0000FF"/>
        </w:rPr>
        <w:t>ir.exlservice.com</w:t>
      </w:r>
      <w:r>
        <w:rPr>
          <w:rFonts w:ascii="Arial" w:cs="Arial" w:eastAsia="Arial" w:hAnsi="Arial"/>
          <w:sz w:val="18"/>
          <w:szCs w:val="18"/>
          <w:color w:val="auto"/>
        </w:rPr>
        <w:t>, where an accompanying investor-friendly spreadsheet of historical operating and financial data can also be accessed. Please access the website at least fifteen minutes prior to the call to register, download and install any necessary audio software.</w:t>
      </w:r>
    </w:p>
    <w:p>
      <w:pPr>
        <w:spacing w:after="0" w:line="213" w:lineRule="exact"/>
        <w:rPr>
          <w:sz w:val="20"/>
          <w:szCs w:val="20"/>
          <w:color w:val="auto"/>
        </w:rPr>
      </w:pPr>
    </w:p>
    <w:p>
      <w:pPr>
        <w:jc w:val="both"/>
        <w:spacing w:after="0" w:line="310" w:lineRule="auto"/>
        <w:rPr>
          <w:sz w:val="20"/>
          <w:szCs w:val="20"/>
          <w:color w:val="auto"/>
        </w:rPr>
      </w:pPr>
      <w:r>
        <w:rPr>
          <w:rFonts w:ascii="Arial" w:cs="Arial" w:eastAsia="Arial" w:hAnsi="Arial"/>
          <w:sz w:val="18"/>
          <w:szCs w:val="18"/>
          <w:color w:val="auto"/>
        </w:rPr>
        <w:t xml:space="preserve">Please note that there is a new system to access the live call-in order to ask questions. To join the live call, please register </w:t>
      </w:r>
      <w:r>
        <w:rPr>
          <w:rFonts w:ascii="Arial" w:cs="Arial" w:eastAsia="Arial" w:hAnsi="Arial"/>
          <w:sz w:val="18"/>
          <w:szCs w:val="18"/>
          <w:u w:val="single" w:color="auto"/>
          <w:color w:val="0000FF"/>
        </w:rPr>
        <w:t>here</w:t>
      </w:r>
      <w:r>
        <w:rPr>
          <w:rFonts w:ascii="Arial" w:cs="Arial" w:eastAsia="Arial" w:hAnsi="Arial"/>
          <w:sz w:val="18"/>
          <w:szCs w:val="18"/>
          <w:color w:val="0000FF"/>
        </w:rPr>
        <w:t>.</w:t>
      </w:r>
      <w:r>
        <w:rPr>
          <w:rFonts w:ascii="Arial" w:cs="Arial" w:eastAsia="Arial" w:hAnsi="Arial"/>
          <w:sz w:val="18"/>
          <w:szCs w:val="18"/>
          <w:color w:val="auto"/>
        </w:rPr>
        <w:t xml:space="preserve"> A dial-in and unique PIN will be provided to join the call. For those who cannot access the live broadcast, a replay will be available on the EXL website </w:t>
      </w:r>
      <w:r>
        <w:rPr>
          <w:rFonts w:ascii="Arial" w:cs="Arial" w:eastAsia="Arial" w:hAnsi="Arial"/>
          <w:sz w:val="18"/>
          <w:szCs w:val="18"/>
          <w:u w:val="single" w:color="auto"/>
          <w:color w:val="0000FF"/>
        </w:rPr>
        <w:t>ir.exlservice.com</w:t>
      </w:r>
      <w:r>
        <w:rPr>
          <w:rFonts w:ascii="Arial" w:cs="Arial" w:eastAsia="Arial" w:hAnsi="Arial"/>
          <w:sz w:val="18"/>
          <w:szCs w:val="18"/>
          <w:color w:val="auto"/>
        </w:rPr>
        <w:t xml:space="preserve"> for a period of twelve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220" w:hanging="212"/>
        <w:spacing w:after="0"/>
        <w:tabs>
          <w:tab w:leader="none" w:pos="220" w:val="left"/>
        </w:tabs>
        <w:numPr>
          <w:ilvl w:val="0"/>
          <w:numId w:val="8"/>
        </w:numPr>
        <w:rPr>
          <w:rFonts w:ascii="Arial" w:cs="Arial" w:eastAsia="Arial" w:hAnsi="Arial"/>
          <w:sz w:val="14"/>
          <w:szCs w:val="14"/>
          <w:color w:val="auto"/>
        </w:rPr>
      </w:pPr>
      <w:r>
        <w:rPr>
          <w:rFonts w:ascii="Arial" w:cs="Arial" w:eastAsia="Arial" w:hAnsi="Arial"/>
          <w:sz w:val="14"/>
          <w:szCs w:val="14"/>
          <w:color w:val="auto"/>
        </w:rPr>
        <w:t>Gartner, “Magic Quadrant for Finance and Accounting Business Process Outsourcing”, Sanjay Champaneri, Ashwani Gupta, June 27, 2022.</w:t>
      </w:r>
    </w:p>
    <w:p>
      <w:pPr>
        <w:spacing w:after="0" w:line="221" w:lineRule="auto"/>
        <w:rPr>
          <w:rFonts w:ascii="Arial" w:cs="Arial" w:eastAsia="Arial" w:hAnsi="Arial"/>
          <w:sz w:val="14"/>
          <w:szCs w:val="14"/>
          <w:color w:val="auto"/>
        </w:rPr>
      </w:pPr>
      <w:r>
        <w:rPr>
          <w:rFonts w:ascii="Arial" w:cs="Arial" w:eastAsia="Arial" w:hAnsi="Arial"/>
          <w:sz w:val="14"/>
          <w:szCs w:val="14"/>
          <w:b w:val="1"/>
          <w:bCs w:val="1"/>
          <w:color w:val="auto"/>
        </w:rPr>
        <w:t>Gartner Disclaimer</w:t>
      </w:r>
    </w:p>
    <w:p>
      <w:pPr>
        <w:jc w:val="both"/>
        <w:spacing w:after="0" w:line="241" w:lineRule="auto"/>
        <w:rPr>
          <w:rFonts w:ascii="Arial" w:cs="Arial" w:eastAsia="Arial" w:hAnsi="Arial"/>
          <w:sz w:val="14"/>
          <w:szCs w:val="14"/>
          <w:color w:val="auto"/>
        </w:rPr>
      </w:pPr>
      <w:r>
        <w:rPr>
          <w:rFonts w:ascii="Arial" w:cs="Arial" w:eastAsia="Arial" w:hAnsi="Arial"/>
          <w:sz w:val="14"/>
          <w:szCs w:val="14"/>
          <w:color w:val="auto"/>
        </w:rPr>
        <w:t>Gartner does not endorse any vendor, product or service depicted in its research publications, and does not advise technology users to select only those vendors with the highest ratings or other designation. Gartner research publications consist of the opinions of Gartner's research organization and should not be construed as statements of fact. Gartner disclaims all warranties, expressed or implied, with respect to this research, including any warranties of merchantability or fitness for a particular purpose.</w:t>
      </w:r>
    </w:p>
    <w:p>
      <w:pPr>
        <w:spacing w:after="0" w:line="1" w:lineRule="exact"/>
        <w:rPr>
          <w:rFonts w:ascii="Arial" w:cs="Arial" w:eastAsia="Arial" w:hAnsi="Arial"/>
          <w:sz w:val="14"/>
          <w:szCs w:val="14"/>
          <w:color w:val="auto"/>
        </w:rPr>
      </w:pPr>
    </w:p>
    <w:p>
      <w:pPr>
        <w:spacing w:after="0" w:line="255" w:lineRule="auto"/>
        <w:rPr>
          <w:rFonts w:ascii="Arial" w:cs="Arial" w:eastAsia="Arial" w:hAnsi="Arial"/>
          <w:sz w:val="14"/>
          <w:szCs w:val="14"/>
          <w:color w:val="auto"/>
        </w:rPr>
      </w:pPr>
      <w:r>
        <w:rPr>
          <w:rFonts w:ascii="Arial" w:cs="Arial" w:eastAsia="Arial" w:hAnsi="Arial"/>
          <w:sz w:val="14"/>
          <w:szCs w:val="14"/>
          <w:color w:val="auto"/>
        </w:rPr>
        <w:t>GARTNER and MAGIC QUADRANT are registered trademarks and service marks of Gartner, Inc. and/or its affiliates in the U.S. and internationally and is used herein with permission. All rights reserved.</w:t>
      </w:r>
    </w:p>
    <w:p>
      <w:pPr>
        <w:sectPr>
          <w:pgSz w:w="11900" w:h="16838" w:orient="portrait"/>
          <w:cols w:equalWidth="0" w:num="1">
            <w:col w:w="11240"/>
          </w:cols>
          <w:pgMar w:left="320" w:top="116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About ExlService Holdings, Inc.</w:t>
      </w:r>
    </w:p>
    <w:p>
      <w:pPr>
        <w:spacing w:after="0" w:line="216" w:lineRule="exact"/>
        <w:rPr>
          <w:sz w:val="20"/>
          <w:szCs w:val="20"/>
          <w:color w:val="auto"/>
        </w:rPr>
      </w:pPr>
    </w:p>
    <w:p>
      <w:pPr>
        <w:jc w:val="both"/>
        <w:spacing w:after="0" w:line="389" w:lineRule="auto"/>
        <w:rPr>
          <w:sz w:val="20"/>
          <w:szCs w:val="20"/>
          <w:color w:val="auto"/>
        </w:rPr>
      </w:pPr>
      <w:r>
        <w:rPr>
          <w:rFonts w:ascii="Arial" w:cs="Arial" w:eastAsia="Arial" w:hAnsi="Arial"/>
          <w:sz w:val="17"/>
          <w:szCs w:val="17"/>
          <w:color w:val="auto"/>
        </w:rPr>
        <w:t xml:space="preserve">EXL (NASDAQ: EXLS) is a leading data analytics and digital operations and solutions company that partners with clients to improve business outcomes and unlock growth. By bringing together deep domain expertise with robust data, powerful analytics, cloud, artificial intelligence (“AI”) and machine learning (“ML”), we create agile, scalable solutions and execute complex operations for the world’s leading corporations in industries including insurance, healthcare, banking and financial services, media, and retail, among others. Focused on driving faster decision-making and transforming operating models, EXL was founded on the core values of innovation, collaboration, excellence, integrity and respect. Headquartered in New York, our team is over 40,600 strong, with more than 50 offices spanning six continents. For more information, visit </w:t>
      </w:r>
      <w:r>
        <w:rPr>
          <w:rFonts w:ascii="Arial" w:cs="Arial" w:eastAsia="Arial" w:hAnsi="Arial"/>
          <w:sz w:val="17"/>
          <w:szCs w:val="17"/>
          <w:u w:val="single" w:color="auto"/>
          <w:color w:val="0000FF"/>
        </w:rPr>
        <w:t>www.exlservice.com.</w:t>
      </w:r>
    </w:p>
    <w:p>
      <w:pPr>
        <w:spacing w:after="0" w:line="282" w:lineRule="exact"/>
        <w:rPr>
          <w:sz w:val="20"/>
          <w:szCs w:val="20"/>
          <w:color w:val="auto"/>
        </w:rPr>
      </w:pPr>
    </w:p>
    <w:p>
      <w:pPr>
        <w:jc w:val="both"/>
        <w:spacing w:after="0" w:line="338" w:lineRule="auto"/>
        <w:rPr>
          <w:sz w:val="20"/>
          <w:szCs w:val="20"/>
          <w:color w:val="auto"/>
        </w:rPr>
      </w:pPr>
      <w:r>
        <w:rPr>
          <w:rFonts w:ascii="Arial" w:cs="Arial" w:eastAsia="Arial" w:hAnsi="Arial"/>
          <w:sz w:val="16"/>
          <w:szCs w:val="16"/>
          <w:b w:val="1"/>
          <w:bCs w:val="1"/>
          <w:color w:val="auto"/>
        </w:rPr>
        <w:t xml:space="preserve">Cautionary Statement Regarding Forward-Looking Statements </w:t>
      </w:r>
      <w:r>
        <w:rPr>
          <w:rFonts w:ascii="Arial" w:cs="Arial" w:eastAsia="Arial" w:hAnsi="Arial"/>
          <w:sz w:val="16"/>
          <w:szCs w:val="16"/>
          <w:i w:val="1"/>
          <w:iCs w:val="1"/>
          <w:color w:val="auto"/>
        </w:rPr>
        <w:t>This press release contains forward-looking statements. You should not place undue</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reliance on those statements because they are subject to numerous uncertainties and factors relating to EXL's operations and business environment, all of which are difficult to predict and many of which are beyond EXL’s control. Forward-looking statements include information concerning EXL’s possible or assumed future results of operations, including descriptions of its business strategy. These statements may include words such as “may,” “will,” “should,” “believe,” “expect,” “anticipate,” “intend,” “plan,” “estimate” or similar expressions. These statements are based on assumptions that we have made in light of management's experience in the industry as well as its perceptions of historical trends, current conditions, expected future developments and other factors it believes are appropriate under the circumstances. You should understand that these statements are not guarantees of performance or results. They involve known and unknown risks, uncertainties and assumptions. Although EXL believes that these forward-looking statements are based on reasonable assumptions, you should be aware that many factors could affect EXL’s actual financial results or results of operations and could cause actual results to differ materially from those in the forward-looking statements. These factors, which include our ability to successfully close and integrate strategic acquisitions, our ability to respond to and manage public health crises, including the outbreak and continued effects of COVID-19 pandemic, are discussed in more detail in EXL’s filings with the Securities and Exchange Commission, including EXL’s Quarterly Report on Form 10-Q and Annual Report on Form 10-K. These risks could cause actual results to differ materially from those implied by forward-looking statements in this release. You should keep in mind that any forward-looking statement made herein, or elsewhere, speaks only as of the date on which it is made. New risks and uncertainties come up from time to time, and it is impossible to predict these events or how they may affect EXL. EXL has no obligation to update any forward-looking statements after the date hereof, except as required by federal securities laws.</w:t>
      </w:r>
    </w:p>
    <w:p>
      <w:pPr>
        <w:sectPr>
          <w:pgSz w:w="11900" w:h="16838" w:orient="portrait"/>
          <w:cols w:equalWidth="0" w:num="1">
            <w:col w:w="11240"/>
          </w:cols>
          <w:pgMar w:left="320" w:top="945" w:right="339" w:bottom="1440" w:gutter="0" w:footer="0" w:header="0"/>
        </w:sectPr>
      </w:pPr>
    </w:p>
    <w:bookmarkStart w:id="7" w:name="page8"/>
    <w:bookmarkEnd w:id="7"/>
    <w:p>
      <w:pPr>
        <w:ind w:left="4260"/>
        <w:spacing w:after="0"/>
        <w:rPr>
          <w:sz w:val="20"/>
          <w:szCs w:val="20"/>
          <w:color w:val="auto"/>
        </w:rPr>
      </w:pPr>
      <w:r>
        <w:rPr>
          <w:rFonts w:ascii="Arial" w:cs="Arial" w:eastAsia="Arial" w:hAnsi="Arial"/>
          <w:sz w:val="18"/>
          <w:szCs w:val="18"/>
          <w:b w:val="1"/>
          <w:bCs w:val="1"/>
          <w:color w:val="auto"/>
        </w:rPr>
        <w:t>EXLSERVICE HOLDINGS, INC.</w:t>
      </w:r>
    </w:p>
    <w:p>
      <w:pPr>
        <w:spacing w:after="0" w:line="104"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CONSOLIDATED STATEMENTS OF INCOME (UNAUDITED)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per share amount and share count)</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6"/>
                <w:szCs w:val="16"/>
                <w:color w:val="auto"/>
              </w:rPr>
            </w:pPr>
          </w:p>
        </w:tc>
        <w:tc>
          <w:tcPr>
            <w:tcW w:w="2440" w:type="dxa"/>
            <w:vAlign w:val="bottom"/>
            <w:gridSpan w:val="4"/>
          </w:tcPr>
          <w:p>
            <w:pPr>
              <w:jc w:val="right"/>
              <w:ind w:right="45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7"/>
        </w:trPr>
        <w:tc>
          <w:tcPr>
            <w:tcW w:w="562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top w:val="single" w:sz="8" w:color="auto"/>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Revenues, net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346,782</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275,064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675,990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536,479</w:t>
            </w:r>
          </w:p>
        </w:tc>
        <w:tc>
          <w:tcPr>
            <w:tcW w:w="0" w:type="dxa"/>
            <w:vAlign w:val="bottom"/>
          </w:tcPr>
          <w:p>
            <w:pPr>
              <w:spacing w:after="0"/>
              <w:rPr>
                <w:sz w:val="1"/>
                <w:szCs w:val="1"/>
                <w:color w:val="auto"/>
              </w:rPr>
            </w:pPr>
          </w:p>
        </w:tc>
      </w:tr>
      <w:tr>
        <w:trPr>
          <w:trHeight w:val="229"/>
        </w:trPr>
        <w:tc>
          <w:tcPr>
            <w:tcW w:w="5620" w:type="dxa"/>
            <w:vAlign w:val="bottom"/>
            <w:tcBorders>
              <w:bottom w:val="single" w:sz="8" w:color="CCEEFF"/>
            </w:tcBorders>
          </w:tcPr>
          <w:p>
            <w:pPr>
              <w:spacing w:after="0" w:line="230" w:lineRule="exact"/>
              <w:rPr>
                <w:sz w:val="20"/>
                <w:szCs w:val="20"/>
                <w:color w:val="auto"/>
              </w:rPr>
            </w:pPr>
            <w:r>
              <w:rPr>
                <w:rFonts w:ascii="Arial" w:cs="Arial" w:eastAsia="Arial" w:hAnsi="Arial"/>
                <w:sz w:val="18"/>
                <w:szCs w:val="18"/>
                <w:color w:val="auto"/>
              </w:rPr>
              <w:t>Cost of revenues</w:t>
            </w:r>
            <w:r>
              <w:rPr>
                <w:rFonts w:ascii="Arial" w:cs="Arial" w:eastAsia="Arial" w:hAnsi="Arial"/>
                <w:sz w:val="23"/>
                <w:szCs w:val="23"/>
                <w:color w:val="auto"/>
                <w:vertAlign w:val="superscript"/>
              </w:rPr>
              <w:t>(1)</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221,207</w:t>
            </w:r>
          </w:p>
        </w:tc>
        <w:tc>
          <w:tcPr>
            <w:tcW w:w="1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170,701</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428,723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329,522</w:t>
            </w:r>
          </w:p>
        </w:tc>
        <w:tc>
          <w:tcPr>
            <w:tcW w:w="0" w:type="dxa"/>
            <w:vAlign w:val="bottom"/>
          </w:tcPr>
          <w:p>
            <w:pPr>
              <w:spacing w:after="0"/>
              <w:rPr>
                <w:sz w:val="1"/>
                <w:szCs w:val="1"/>
                <w:color w:val="auto"/>
              </w:rPr>
            </w:pPr>
          </w:p>
        </w:tc>
      </w:tr>
      <w:tr>
        <w:trPr>
          <w:trHeight w:val="223"/>
        </w:trPr>
        <w:tc>
          <w:tcPr>
            <w:tcW w:w="5620" w:type="dxa"/>
            <w:vAlign w:val="bottom"/>
            <w:shd w:val="clear" w:color="auto" w:fill="CCEEFF"/>
          </w:tcPr>
          <w:p>
            <w:pPr>
              <w:spacing w:after="0" w:line="223" w:lineRule="exact"/>
              <w:rPr>
                <w:sz w:val="20"/>
                <w:szCs w:val="20"/>
                <w:color w:val="auto"/>
              </w:rPr>
            </w:pPr>
            <w:r>
              <w:rPr>
                <w:rFonts w:ascii="Arial" w:cs="Arial" w:eastAsia="Arial" w:hAnsi="Arial"/>
                <w:sz w:val="18"/>
                <w:szCs w:val="18"/>
                <w:b w:val="1"/>
                <w:bCs w:val="1"/>
                <w:color w:val="auto"/>
              </w:rPr>
              <w:t>Gross profit</w:t>
            </w:r>
            <w:r>
              <w:rPr>
                <w:rFonts w:ascii="Arial" w:cs="Arial" w:eastAsia="Arial" w:hAnsi="Arial"/>
                <w:sz w:val="23"/>
                <w:szCs w:val="23"/>
                <w:b w:val="1"/>
                <w:bCs w:val="1"/>
                <w:color w:val="auto"/>
                <w:vertAlign w:val="superscript"/>
              </w:rPr>
              <w:t>(1)</w:t>
            </w: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125,575</w:t>
            </w:r>
          </w:p>
        </w:tc>
        <w:tc>
          <w:tcPr>
            <w:tcW w:w="1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104,363</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247,267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206,957</w:t>
            </w:r>
          </w:p>
        </w:tc>
        <w:tc>
          <w:tcPr>
            <w:tcW w:w="0" w:type="dxa"/>
            <w:vAlign w:val="bottom"/>
          </w:tcPr>
          <w:p>
            <w:pPr>
              <w:spacing w:after="0"/>
              <w:rPr>
                <w:sz w:val="1"/>
                <w:szCs w:val="1"/>
                <w:color w:val="auto"/>
              </w:rPr>
            </w:pPr>
          </w:p>
        </w:tc>
      </w:tr>
      <w:tr>
        <w:trPr>
          <w:trHeight w:val="209"/>
        </w:trPr>
        <w:tc>
          <w:tcPr>
            <w:tcW w:w="5620" w:type="dxa"/>
            <w:vAlign w:val="bottom"/>
          </w:tcPr>
          <w:p>
            <w:pPr>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 expenses</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40,434</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36,499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80,379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67,202</w:t>
            </w:r>
          </w:p>
        </w:tc>
        <w:tc>
          <w:tcPr>
            <w:tcW w:w="0" w:type="dxa"/>
            <w:vAlign w:val="bottom"/>
          </w:tcPr>
          <w:p>
            <w:pPr>
              <w:spacing w:after="0"/>
              <w:rPr>
                <w:sz w:val="1"/>
                <w:szCs w:val="1"/>
                <w:color w:val="auto"/>
              </w:rPr>
            </w:pPr>
          </w:p>
        </w:tc>
      </w:tr>
      <w:tr>
        <w:trPr>
          <w:trHeight w:val="230"/>
        </w:trPr>
        <w:tc>
          <w:tcPr>
            <w:tcW w:w="5620" w:type="dxa"/>
            <w:vAlign w:val="bottom"/>
          </w:tcPr>
          <w:p>
            <w:pPr>
              <w:ind w:left="340"/>
              <w:spacing w:after="0"/>
              <w:rPr>
                <w:sz w:val="20"/>
                <w:szCs w:val="20"/>
                <w:color w:val="auto"/>
              </w:rPr>
            </w:pPr>
            <w:r>
              <w:rPr>
                <w:rFonts w:ascii="Arial" w:cs="Arial" w:eastAsia="Arial" w:hAnsi="Arial"/>
                <w:sz w:val="18"/>
                <w:szCs w:val="18"/>
                <w:color w:val="auto"/>
              </w:rPr>
              <w:t>Selling and marketing expenses</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23,985</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19,724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48,155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37,959</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 expense</w:t>
            </w: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14,075</w:t>
            </w:r>
          </w:p>
        </w:tc>
        <w:tc>
          <w:tcPr>
            <w:tcW w:w="1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12,310</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27,677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24,411</w:t>
            </w:r>
          </w:p>
        </w:tc>
        <w:tc>
          <w:tcPr>
            <w:tcW w:w="0" w:type="dxa"/>
            <w:vAlign w:val="bottom"/>
          </w:tcPr>
          <w:p>
            <w:pPr>
              <w:spacing w:after="0"/>
              <w:rPr>
                <w:sz w:val="1"/>
                <w:szCs w:val="1"/>
                <w:color w:val="auto"/>
              </w:rPr>
            </w:pPr>
          </w:p>
        </w:tc>
      </w:tr>
      <w:tr>
        <w:trPr>
          <w:trHeight w:val="223"/>
        </w:trPr>
        <w:tc>
          <w:tcPr>
            <w:tcW w:w="5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78,494</w:t>
            </w:r>
          </w:p>
        </w:tc>
        <w:tc>
          <w:tcPr>
            <w:tcW w:w="1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68,533</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156,211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129,572</w:t>
            </w:r>
          </w:p>
        </w:tc>
        <w:tc>
          <w:tcPr>
            <w:tcW w:w="0" w:type="dxa"/>
            <w:vAlign w:val="bottom"/>
          </w:tcPr>
          <w:p>
            <w:pPr>
              <w:spacing w:after="0"/>
              <w:rPr>
                <w:sz w:val="1"/>
                <w:szCs w:val="1"/>
                <w:color w:val="auto"/>
              </w:rPr>
            </w:pPr>
          </w:p>
        </w:tc>
      </w:tr>
      <w:tr>
        <w:trPr>
          <w:trHeight w:val="223"/>
        </w:trPr>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from operations</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47,081</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35,830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91,056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77,385</w:t>
            </w:r>
          </w:p>
        </w:tc>
        <w:tc>
          <w:tcPr>
            <w:tcW w:w="0" w:type="dxa"/>
            <w:vAlign w:val="bottom"/>
          </w:tcPr>
          <w:p>
            <w:pPr>
              <w:spacing w:after="0"/>
              <w:rPr>
                <w:sz w:val="1"/>
                <w:szCs w:val="1"/>
                <w:color w:val="auto"/>
              </w:rPr>
            </w:pP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Foreign exchange gain, net</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1,423</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1,353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3,179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1,787</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(4,994)</w:t>
            </w:r>
          </w:p>
        </w:tc>
        <w:tc>
          <w:tcPr>
            <w:tcW w:w="0" w:type="dxa"/>
            <w:vAlign w:val="bottom"/>
          </w:tcPr>
          <w:p>
            <w:pPr>
              <w:spacing w:after="0"/>
              <w:rPr>
                <w:sz w:val="1"/>
                <w:szCs w:val="1"/>
                <w:color w:val="auto"/>
              </w:rPr>
            </w:pPr>
          </w:p>
        </w:tc>
      </w:tr>
      <w:tr>
        <w:trPr>
          <w:trHeight w:val="229"/>
        </w:trPr>
        <w:tc>
          <w:tcPr>
            <w:tcW w:w="5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income/(loss), net</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1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2,215</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3,625</w:t>
            </w:r>
          </w:p>
        </w:tc>
        <w:tc>
          <w:tcPr>
            <w:tcW w:w="0" w:type="dxa"/>
            <w:vAlign w:val="bottom"/>
          </w:tcPr>
          <w:p>
            <w:pPr>
              <w:spacing w:after="0"/>
              <w:rPr>
                <w:sz w:val="1"/>
                <w:szCs w:val="1"/>
                <w:color w:val="auto"/>
              </w:rPr>
            </w:pPr>
          </w:p>
        </w:tc>
      </w:tr>
      <w:tr>
        <w:trPr>
          <w:trHeight w:val="223"/>
        </w:trPr>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3"/>
              </w:rPr>
              <w:t>Income before income tax expense and earnings from equity affiliates</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46,828</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36,878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94,094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77,803</w:t>
            </w:r>
          </w:p>
        </w:tc>
        <w:tc>
          <w:tcPr>
            <w:tcW w:w="0" w:type="dxa"/>
            <w:vAlign w:val="bottom"/>
          </w:tcPr>
          <w:p>
            <w:pPr>
              <w:spacing w:after="0"/>
              <w:rPr>
                <w:sz w:val="1"/>
                <w:szCs w:val="1"/>
                <w:color w:val="auto"/>
              </w:rPr>
            </w:pPr>
          </w:p>
        </w:tc>
      </w:tr>
      <w:tr>
        <w:trPr>
          <w:trHeight w:val="229"/>
        </w:trPr>
        <w:tc>
          <w:tcPr>
            <w:tcW w:w="5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11,125</w:t>
            </w:r>
          </w:p>
        </w:tc>
        <w:tc>
          <w:tcPr>
            <w:tcW w:w="1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8,865</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22,327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17,823</w:t>
            </w:r>
          </w:p>
        </w:tc>
        <w:tc>
          <w:tcPr>
            <w:tcW w:w="0" w:type="dxa"/>
            <w:vAlign w:val="bottom"/>
          </w:tcPr>
          <w:p>
            <w:pPr>
              <w:spacing w:after="0"/>
              <w:rPr>
                <w:sz w:val="1"/>
                <w:szCs w:val="1"/>
                <w:color w:val="auto"/>
              </w:rPr>
            </w:pPr>
          </w:p>
        </w:tc>
      </w:tr>
      <w:tr>
        <w:trPr>
          <w:trHeight w:val="223"/>
        </w:trPr>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earnings from equity affiliates</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35,703</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28,013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71,767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59,980</w:t>
            </w:r>
          </w:p>
        </w:tc>
        <w:tc>
          <w:tcPr>
            <w:tcW w:w="0" w:type="dxa"/>
            <w:vAlign w:val="bottom"/>
          </w:tcPr>
          <w:p>
            <w:pPr>
              <w:spacing w:after="0"/>
              <w:rPr>
                <w:sz w:val="1"/>
                <w:szCs w:val="1"/>
                <w:color w:val="auto"/>
              </w:rPr>
            </w:pPr>
          </w:p>
        </w:tc>
      </w:tr>
      <w:tr>
        <w:trPr>
          <w:trHeight w:val="229"/>
        </w:trPr>
        <w:tc>
          <w:tcPr>
            <w:tcW w:w="5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Gain/(loss) from equity-method investment</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1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8"/>
        </w:trPr>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ExlService Holdings, Inc. stockholders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35,846</w:t>
            </w:r>
          </w:p>
        </w:tc>
        <w:tc>
          <w:tcPr>
            <w:tcW w:w="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28,021</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72,024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59,952</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w w:val="96"/>
              </w:rPr>
              <w:t>Earnings per share attributable to ExlService Holdings, Inc. stockholders: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6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30"/>
        </w:trPr>
        <w:tc>
          <w:tcPr>
            <w:tcW w:w="5620" w:type="dxa"/>
            <w:vAlign w:val="bottom"/>
          </w:tcPr>
          <w:p>
            <w:pPr>
              <w:ind w:left="540"/>
              <w:spacing w:after="0"/>
              <w:rPr>
                <w:sz w:val="20"/>
                <w:szCs w:val="20"/>
                <w:color w:val="auto"/>
              </w:rPr>
            </w:pPr>
            <w:r>
              <w:rPr>
                <w:rFonts w:ascii="Arial" w:cs="Arial" w:eastAsia="Arial" w:hAnsi="Arial"/>
                <w:sz w:val="18"/>
                <w:szCs w:val="18"/>
                <w:color w:val="auto"/>
              </w:rPr>
              <w:t>Diluted</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1.06</w:t>
            </w:r>
          </w:p>
        </w:tc>
        <w:tc>
          <w:tcPr>
            <w:tcW w:w="18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0.81</w:t>
            </w:r>
          </w:p>
        </w:tc>
        <w:tc>
          <w:tcPr>
            <w:tcW w:w="8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175"/>
        </w:trPr>
        <w:tc>
          <w:tcPr>
            <w:tcW w:w="56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3"/>
              </w:rPr>
              <w:t>Weighted-average number of shares used in computing earnings per share</w:t>
            </w: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attributable to ExlService Holdings Inc. stockholders:</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540"/>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33,403,411</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33,571,074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33,422,618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33,652,146</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33,830,539</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34,389,768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33,862,597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34,353,593</w:t>
            </w: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220"/>
        <w:spacing w:after="0"/>
        <w:rPr>
          <w:sz w:val="20"/>
          <w:szCs w:val="20"/>
          <w:color w:val="auto"/>
        </w:rPr>
      </w:pPr>
      <w:r>
        <w:rPr>
          <w:rFonts w:ascii="Arial" w:cs="Arial" w:eastAsia="Arial" w:hAnsi="Arial"/>
          <w:sz w:val="21"/>
          <w:szCs w:val="21"/>
          <w:color w:val="auto"/>
          <w:vertAlign w:val="superscript"/>
        </w:rPr>
        <w:t>(1)</w:t>
      </w:r>
      <w:r>
        <w:rPr>
          <w:rFonts w:ascii="Arial" w:cs="Arial" w:eastAsia="Arial" w:hAnsi="Arial"/>
          <w:sz w:val="16"/>
          <w:szCs w:val="16"/>
          <w:color w:val="auto"/>
        </w:rPr>
        <w:t>Exclusive of depreciation and amortization expense.</w:t>
      </w:r>
    </w:p>
    <w:p>
      <w:pPr>
        <w:sectPr>
          <w:pgSz w:w="11900" w:h="16838" w:orient="portrait"/>
          <w:cols w:equalWidth="0" w:num="1">
            <w:col w:w="11180"/>
          </w:cols>
          <w:pgMar w:left="360" w:top="1107" w:right="35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CONSOLIDATED BALANCE SHEETS (UNAUDITED)</w:t>
      </w:r>
    </w:p>
    <w:p>
      <w:pPr>
        <w:spacing w:after="0" w:line="9"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(In thousands, except per share amount and share count)</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40" w:type="dxa"/>
            <w:vAlign w:val="bottom"/>
            <w:gridSpan w:val="3"/>
          </w:tcPr>
          <w:p>
            <w:pPr>
              <w:jc w:val="right"/>
              <w:spacing w:after="0"/>
              <w:rPr>
                <w:sz w:val="20"/>
                <w:szCs w:val="20"/>
                <w:color w:val="auto"/>
              </w:rPr>
            </w:pPr>
            <w:r>
              <w:rPr>
                <w:rFonts w:ascii="Arial" w:cs="Arial" w:eastAsia="Arial" w:hAnsi="Arial"/>
                <w:sz w:val="15"/>
                <w:szCs w:val="15"/>
                <w:b w:val="1"/>
                <w:bCs w:val="1"/>
                <w:color w:val="auto"/>
              </w:rPr>
              <w:t>As of</w:t>
            </w: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7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ind w:left="120"/>
              <w:spacing w:after="0"/>
              <w:rPr>
                <w:sz w:val="20"/>
                <w:szCs w:val="20"/>
                <w:color w:val="auto"/>
              </w:rPr>
            </w:pPr>
            <w:r>
              <w:rPr>
                <w:rFonts w:ascii="Arial" w:cs="Arial" w:eastAsia="Arial" w:hAnsi="Arial"/>
                <w:sz w:val="16"/>
                <w:szCs w:val="16"/>
                <w:b w:val="1"/>
                <w:bCs w:val="1"/>
                <w:color w:val="auto"/>
              </w:rPr>
              <w:t>June 30, 2022</w:t>
            </w:r>
          </w:p>
        </w:tc>
        <w:tc>
          <w:tcPr>
            <w:tcW w:w="120" w:type="dxa"/>
            <w:vAlign w:val="bottom"/>
          </w:tcPr>
          <w:p>
            <w:pPr>
              <w:spacing w:after="0"/>
              <w:rPr>
                <w:sz w:val="18"/>
                <w:szCs w:val="18"/>
                <w:color w:val="auto"/>
              </w:rPr>
            </w:pPr>
          </w:p>
        </w:tc>
        <w:tc>
          <w:tcPr>
            <w:tcW w:w="1460" w:type="dxa"/>
            <w:vAlign w:val="bottom"/>
          </w:tcPr>
          <w:p>
            <w:pPr>
              <w:jc w:val="right"/>
              <w:ind w:right="50"/>
              <w:spacing w:after="0"/>
              <w:rPr>
                <w:sz w:val="20"/>
                <w:szCs w:val="20"/>
                <w:color w:val="auto"/>
              </w:rPr>
            </w:pPr>
            <w:r>
              <w:rPr>
                <w:rFonts w:ascii="Arial" w:cs="Arial" w:eastAsia="Arial" w:hAnsi="Arial"/>
                <w:sz w:val="16"/>
                <w:szCs w:val="16"/>
                <w:b w:val="1"/>
                <w:bCs w:val="1"/>
                <w:color w:val="auto"/>
                <w:w w:val="90"/>
              </w:rPr>
              <w:t>December 31, 2021</w:t>
            </w:r>
          </w:p>
        </w:tc>
        <w:tc>
          <w:tcPr>
            <w:tcW w:w="0" w:type="dxa"/>
            <w:vAlign w:val="bottom"/>
          </w:tcPr>
          <w:p>
            <w:pPr>
              <w:spacing w:after="0"/>
              <w:rPr>
                <w:sz w:val="1"/>
                <w:szCs w:val="1"/>
                <w:color w:val="auto"/>
              </w:rPr>
            </w:pPr>
          </w:p>
        </w:tc>
      </w:tr>
      <w:tr>
        <w:trPr>
          <w:trHeight w:val="199"/>
        </w:trPr>
        <w:tc>
          <w:tcPr>
            <w:tcW w:w="70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020" w:type="dxa"/>
            <w:vAlign w:val="bottom"/>
          </w:tcPr>
          <w:p>
            <w:pPr>
              <w:ind w:left="20"/>
              <w:spacing w:after="0"/>
              <w:rPr>
                <w:sz w:val="20"/>
                <w:szCs w:val="20"/>
                <w:color w:val="auto"/>
              </w:rPr>
            </w:pPr>
            <w:r>
              <w:rPr>
                <w:rFonts w:ascii="Arial" w:cs="Arial" w:eastAsia="Arial" w:hAnsi="Arial"/>
                <w:sz w:val="16"/>
                <w:szCs w:val="16"/>
                <w:b w:val="1"/>
                <w:bCs w:val="1"/>
                <w:color w:val="auto"/>
              </w:rPr>
              <w:t>Current assets:</w:t>
            </w: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70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Cash and cash equivalents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106,304</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135,337</w:t>
            </w:r>
          </w:p>
        </w:tc>
        <w:tc>
          <w:tcPr>
            <w:tcW w:w="0" w:type="dxa"/>
            <w:vAlign w:val="bottom"/>
          </w:tcPr>
          <w:p>
            <w:pPr>
              <w:spacing w:after="0"/>
              <w:rPr>
                <w:sz w:val="1"/>
                <w:szCs w:val="1"/>
                <w:color w:val="auto"/>
              </w:rPr>
            </w:pPr>
          </w:p>
        </w:tc>
      </w:tr>
      <w:tr>
        <w:trPr>
          <w:trHeight w:val="229"/>
        </w:trPr>
        <w:tc>
          <w:tcPr>
            <w:tcW w:w="7020" w:type="dxa"/>
            <w:vAlign w:val="bottom"/>
          </w:tcPr>
          <w:p>
            <w:pPr>
              <w:ind w:left="340"/>
              <w:spacing w:after="0"/>
              <w:rPr>
                <w:sz w:val="20"/>
                <w:szCs w:val="20"/>
                <w:color w:val="auto"/>
              </w:rPr>
            </w:pPr>
            <w:r>
              <w:rPr>
                <w:rFonts w:ascii="Arial" w:cs="Arial" w:eastAsia="Arial" w:hAnsi="Arial"/>
                <w:sz w:val="16"/>
                <w:szCs w:val="16"/>
                <w:color w:val="auto"/>
              </w:rPr>
              <w:t>Short-term investments</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158,941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178,538</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Restricted cash</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6,174</w:t>
            </w:r>
          </w:p>
        </w:tc>
        <w:tc>
          <w:tcPr>
            <w:tcW w:w="0" w:type="dxa"/>
            <w:vAlign w:val="bottom"/>
          </w:tcPr>
          <w:p>
            <w:pPr>
              <w:spacing w:after="0"/>
              <w:rPr>
                <w:sz w:val="1"/>
                <w:szCs w:val="1"/>
                <w:color w:val="auto"/>
              </w:rPr>
            </w:pPr>
          </w:p>
        </w:tc>
      </w:tr>
      <w:tr>
        <w:trPr>
          <w:trHeight w:val="229"/>
        </w:trPr>
        <w:tc>
          <w:tcPr>
            <w:tcW w:w="7020" w:type="dxa"/>
            <w:vAlign w:val="bottom"/>
          </w:tcPr>
          <w:p>
            <w:pPr>
              <w:ind w:left="340"/>
              <w:spacing w:after="0"/>
              <w:rPr>
                <w:sz w:val="20"/>
                <w:szCs w:val="20"/>
                <w:color w:val="auto"/>
              </w:rPr>
            </w:pPr>
            <w:r>
              <w:rPr>
                <w:rFonts w:ascii="Arial" w:cs="Arial" w:eastAsia="Arial" w:hAnsi="Arial"/>
                <w:sz w:val="16"/>
                <w:szCs w:val="16"/>
                <w:color w:val="auto"/>
              </w:rPr>
              <w:t>Accounts receivable, net</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237,453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194,232</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Prepaid expenses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15,621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14,655</w:t>
            </w:r>
          </w:p>
        </w:tc>
        <w:tc>
          <w:tcPr>
            <w:tcW w:w="0" w:type="dxa"/>
            <w:vAlign w:val="bottom"/>
          </w:tcPr>
          <w:p>
            <w:pPr>
              <w:spacing w:after="0"/>
              <w:rPr>
                <w:sz w:val="1"/>
                <w:szCs w:val="1"/>
                <w:color w:val="auto"/>
              </w:rPr>
            </w:pPr>
          </w:p>
        </w:tc>
      </w:tr>
      <w:tr>
        <w:trPr>
          <w:trHeight w:val="229"/>
        </w:trPr>
        <w:tc>
          <w:tcPr>
            <w:tcW w:w="7020" w:type="dxa"/>
            <w:vAlign w:val="bottom"/>
          </w:tcPr>
          <w:p>
            <w:pPr>
              <w:ind w:left="340"/>
              <w:spacing w:after="0"/>
              <w:rPr>
                <w:sz w:val="20"/>
                <w:szCs w:val="20"/>
                <w:color w:val="auto"/>
              </w:rPr>
            </w:pPr>
            <w:r>
              <w:rPr>
                <w:rFonts w:ascii="Arial" w:cs="Arial" w:eastAsia="Arial" w:hAnsi="Arial"/>
                <w:sz w:val="16"/>
                <w:szCs w:val="16"/>
                <w:color w:val="auto"/>
              </w:rPr>
              <w:t>Advance income tax, net</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12,712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15,199</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23,143</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34,009</w:t>
            </w:r>
          </w:p>
        </w:tc>
        <w:tc>
          <w:tcPr>
            <w:tcW w:w="0" w:type="dxa"/>
            <w:vAlign w:val="bottom"/>
          </w:tcPr>
          <w:p>
            <w:pPr>
              <w:spacing w:after="0"/>
              <w:rPr>
                <w:sz w:val="1"/>
                <w:szCs w:val="1"/>
                <w:color w:val="auto"/>
              </w:rPr>
            </w:pPr>
          </w:p>
        </w:tc>
      </w:tr>
      <w:tr>
        <w:trPr>
          <w:trHeight w:val="223"/>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Total current assets</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561,014</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578,144</w:t>
            </w:r>
          </w:p>
        </w:tc>
        <w:tc>
          <w:tcPr>
            <w:tcW w:w="0" w:type="dxa"/>
            <w:vAlign w:val="bottom"/>
          </w:tcPr>
          <w:p>
            <w:pPr>
              <w:spacing w:after="0"/>
              <w:rPr>
                <w:sz w:val="1"/>
                <w:szCs w:val="1"/>
                <w:color w:val="auto"/>
              </w:rPr>
            </w:pPr>
          </w:p>
        </w:tc>
      </w:tr>
      <w:tr>
        <w:trPr>
          <w:trHeight w:val="223"/>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82,649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86,008</w:t>
            </w:r>
          </w:p>
        </w:tc>
        <w:tc>
          <w:tcPr>
            <w:tcW w:w="0" w:type="dxa"/>
            <w:vAlign w:val="bottom"/>
          </w:tcPr>
          <w:p>
            <w:pPr>
              <w:spacing w:after="0"/>
              <w:rPr>
                <w:sz w:val="1"/>
                <w:szCs w:val="1"/>
                <w:color w:val="auto"/>
              </w:rPr>
            </w:pPr>
          </w:p>
        </w:tc>
      </w:tr>
      <w:tr>
        <w:trPr>
          <w:trHeight w:val="229"/>
        </w:trPr>
        <w:tc>
          <w:tcPr>
            <w:tcW w:w="702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67,962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76,692</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Restricted cash</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2,299</w:t>
            </w:r>
          </w:p>
        </w:tc>
        <w:tc>
          <w:tcPr>
            <w:tcW w:w="0" w:type="dxa"/>
            <w:vAlign w:val="bottom"/>
          </w:tcPr>
          <w:p>
            <w:pPr>
              <w:spacing w:after="0"/>
              <w:rPr>
                <w:sz w:val="1"/>
                <w:szCs w:val="1"/>
                <w:color w:val="auto"/>
              </w:rPr>
            </w:pPr>
          </w:p>
        </w:tc>
      </w:tr>
      <w:tr>
        <w:trPr>
          <w:trHeight w:val="230"/>
        </w:trPr>
        <w:tc>
          <w:tcPr>
            <w:tcW w:w="7020" w:type="dxa"/>
            <w:vAlign w:val="bottom"/>
          </w:tcPr>
          <w:p>
            <w:pPr>
              <w:ind w:left="20"/>
              <w:spacing w:after="0"/>
              <w:rPr>
                <w:sz w:val="20"/>
                <w:szCs w:val="20"/>
                <w:color w:val="auto"/>
              </w:rPr>
            </w:pPr>
            <w:r>
              <w:rPr>
                <w:rFonts w:ascii="Arial" w:cs="Arial" w:eastAsia="Arial" w:hAnsi="Arial"/>
                <w:sz w:val="16"/>
                <w:szCs w:val="16"/>
                <w:color w:val="auto"/>
              </w:rPr>
              <w:t>Deferred tax assets, net</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40,924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21,404</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 net</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73,298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81,082</w:t>
            </w:r>
          </w:p>
        </w:tc>
        <w:tc>
          <w:tcPr>
            <w:tcW w:w="0" w:type="dxa"/>
            <w:vAlign w:val="bottom"/>
          </w:tcPr>
          <w:p>
            <w:pPr>
              <w:spacing w:after="0"/>
              <w:rPr>
                <w:sz w:val="1"/>
                <w:szCs w:val="1"/>
                <w:color w:val="auto"/>
              </w:rPr>
            </w:pPr>
          </w:p>
        </w:tc>
      </w:tr>
      <w:tr>
        <w:trPr>
          <w:trHeight w:val="229"/>
        </w:trPr>
        <w:tc>
          <w:tcPr>
            <w:tcW w:w="7020" w:type="dxa"/>
            <w:vAlign w:val="bottom"/>
          </w:tcPr>
          <w:p>
            <w:pPr>
              <w:ind w:left="20"/>
              <w:spacing w:after="0"/>
              <w:rPr>
                <w:sz w:val="20"/>
                <w:szCs w:val="20"/>
                <w:color w:val="auto"/>
              </w:rPr>
            </w:pPr>
            <w:r>
              <w:rPr>
                <w:rFonts w:ascii="Arial" w:cs="Arial" w:eastAsia="Arial" w:hAnsi="Arial"/>
                <w:sz w:val="16"/>
                <w:szCs w:val="16"/>
                <w:color w:val="auto"/>
              </w:rPr>
              <w:t>Goodwill</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406,575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403,902</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53,195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30,369</w:t>
            </w:r>
          </w:p>
        </w:tc>
        <w:tc>
          <w:tcPr>
            <w:tcW w:w="0" w:type="dxa"/>
            <w:vAlign w:val="bottom"/>
          </w:tcPr>
          <w:p>
            <w:pPr>
              <w:spacing w:after="0"/>
              <w:rPr>
                <w:sz w:val="1"/>
                <w:szCs w:val="1"/>
                <w:color w:val="auto"/>
              </w:rPr>
            </w:pPr>
          </w:p>
        </w:tc>
      </w:tr>
      <w:tr>
        <w:trPr>
          <w:trHeight w:val="229"/>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Investment in equity affiliate</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3,261</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3,004</w:t>
            </w:r>
          </w:p>
        </w:tc>
        <w:tc>
          <w:tcPr>
            <w:tcW w:w="0" w:type="dxa"/>
            <w:vAlign w:val="bottom"/>
          </w:tcPr>
          <w:p>
            <w:pPr>
              <w:spacing w:after="0"/>
              <w:rPr>
                <w:sz w:val="1"/>
                <w:szCs w:val="1"/>
                <w:color w:val="auto"/>
              </w:rPr>
            </w:pPr>
          </w:p>
        </w:tc>
      </w:tr>
      <w:tr>
        <w:trPr>
          <w:trHeight w:val="248"/>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assets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1,290,934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1,282,904</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02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tcPr>
          <w:p>
            <w:pPr>
              <w:ind w:left="340"/>
              <w:spacing w:after="0"/>
              <w:rPr>
                <w:sz w:val="20"/>
                <w:szCs w:val="20"/>
                <w:color w:val="auto"/>
              </w:rPr>
            </w:pPr>
            <w:r>
              <w:rPr>
                <w:rFonts w:ascii="Arial" w:cs="Arial" w:eastAsia="Arial" w:hAnsi="Arial"/>
                <w:sz w:val="16"/>
                <w:szCs w:val="16"/>
                <w:color w:val="auto"/>
              </w:rPr>
              <w:t>Accounts payable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4,377</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5,647</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Current portion of long-term borrowings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260,016</w:t>
            </w:r>
          </w:p>
        </w:tc>
        <w:tc>
          <w:tcPr>
            <w:tcW w:w="0" w:type="dxa"/>
            <w:vAlign w:val="bottom"/>
          </w:tcPr>
          <w:p>
            <w:pPr>
              <w:spacing w:after="0"/>
              <w:rPr>
                <w:sz w:val="1"/>
                <w:szCs w:val="1"/>
                <w:color w:val="auto"/>
              </w:rPr>
            </w:pPr>
          </w:p>
        </w:tc>
      </w:tr>
      <w:tr>
        <w:trPr>
          <w:trHeight w:val="229"/>
        </w:trPr>
        <w:tc>
          <w:tcPr>
            <w:tcW w:w="7020" w:type="dxa"/>
            <w:vAlign w:val="bottom"/>
          </w:tcPr>
          <w:p>
            <w:pPr>
              <w:ind w:left="340"/>
              <w:spacing w:after="0"/>
              <w:rPr>
                <w:sz w:val="20"/>
                <w:szCs w:val="20"/>
                <w:color w:val="auto"/>
              </w:rPr>
            </w:pPr>
            <w:r>
              <w:rPr>
                <w:rFonts w:ascii="Arial" w:cs="Arial" w:eastAsia="Arial" w:hAnsi="Arial"/>
                <w:sz w:val="16"/>
                <w:szCs w:val="16"/>
                <w:color w:val="auto"/>
              </w:rPr>
              <w:t>Deferred revenue</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22,013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Accrued employee costs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75,698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114,285</w:t>
            </w:r>
          </w:p>
        </w:tc>
        <w:tc>
          <w:tcPr>
            <w:tcW w:w="0" w:type="dxa"/>
            <w:vAlign w:val="bottom"/>
          </w:tcPr>
          <w:p>
            <w:pPr>
              <w:spacing w:after="0"/>
              <w:rPr>
                <w:sz w:val="1"/>
                <w:szCs w:val="1"/>
                <w:color w:val="auto"/>
              </w:rPr>
            </w:pPr>
          </w:p>
        </w:tc>
      </w:tr>
      <w:tr>
        <w:trPr>
          <w:trHeight w:val="230"/>
        </w:trPr>
        <w:tc>
          <w:tcPr>
            <w:tcW w:w="7020" w:type="dxa"/>
            <w:vAlign w:val="bottom"/>
          </w:tcPr>
          <w:p>
            <w:pPr>
              <w:ind w:left="340"/>
              <w:spacing w:after="0"/>
              <w:rPr>
                <w:sz w:val="20"/>
                <w:szCs w:val="20"/>
                <w:color w:val="auto"/>
              </w:rPr>
            </w:pPr>
            <w:r>
              <w:rPr>
                <w:rFonts w:ascii="Arial" w:cs="Arial" w:eastAsia="Arial" w:hAnsi="Arial"/>
                <w:sz w:val="16"/>
                <w:szCs w:val="16"/>
                <w:color w:val="auto"/>
              </w:rPr>
              <w:t>Accrued expenses and other current liabilities</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89,030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76,350</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Current portion of operating lease liabilities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18,548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18,487</w:t>
            </w:r>
          </w:p>
        </w:tc>
        <w:tc>
          <w:tcPr>
            <w:tcW w:w="0" w:type="dxa"/>
            <w:vAlign w:val="bottom"/>
          </w:tcPr>
          <w:p>
            <w:pPr>
              <w:spacing w:after="0"/>
              <w:rPr>
                <w:sz w:val="1"/>
                <w:szCs w:val="1"/>
                <w:color w:val="auto"/>
              </w:rPr>
            </w:pPr>
          </w:p>
        </w:tc>
      </w:tr>
      <w:tr>
        <w:trPr>
          <w:trHeight w:val="229"/>
        </w:trPr>
        <w:tc>
          <w:tcPr>
            <w:tcW w:w="702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Income taxes payable, net</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21,348</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901</w:t>
            </w:r>
          </w:p>
        </w:tc>
        <w:tc>
          <w:tcPr>
            <w:tcW w:w="0" w:type="dxa"/>
            <w:vAlign w:val="bottom"/>
          </w:tcPr>
          <w:p>
            <w:pPr>
              <w:spacing w:after="0"/>
              <w:rPr>
                <w:sz w:val="1"/>
                <w:szCs w:val="1"/>
                <w:color w:val="auto"/>
              </w:rPr>
            </w:pPr>
          </w:p>
        </w:tc>
      </w:tr>
      <w:tr>
        <w:trPr>
          <w:trHeight w:val="223"/>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266,014</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495,686</w:t>
            </w:r>
          </w:p>
        </w:tc>
        <w:tc>
          <w:tcPr>
            <w:tcW w:w="0" w:type="dxa"/>
            <w:vAlign w:val="bottom"/>
          </w:tcPr>
          <w:p>
            <w:pPr>
              <w:spacing w:after="0"/>
              <w:rPr>
                <w:sz w:val="1"/>
                <w:szCs w:val="1"/>
                <w:color w:val="auto"/>
              </w:rPr>
            </w:pPr>
          </w:p>
        </w:tc>
      </w:tr>
      <w:tr>
        <w:trPr>
          <w:trHeight w:val="223"/>
        </w:trPr>
        <w:tc>
          <w:tcPr>
            <w:tcW w:w="7020" w:type="dxa"/>
            <w:vAlign w:val="bottom"/>
          </w:tcPr>
          <w:p>
            <w:pPr>
              <w:ind w:left="20"/>
              <w:spacing w:after="0"/>
              <w:rPr>
                <w:sz w:val="20"/>
                <w:szCs w:val="20"/>
                <w:color w:val="auto"/>
              </w:rPr>
            </w:pPr>
            <w:r>
              <w:rPr>
                <w:rFonts w:ascii="Arial" w:cs="Arial" w:eastAsia="Arial" w:hAnsi="Arial"/>
                <w:sz w:val="16"/>
                <w:szCs w:val="16"/>
                <w:color w:val="auto"/>
              </w:rPr>
              <w:t>Long-term borrowings, less current portion</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250,000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liabilities, less current portion</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59,224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68,506</w:t>
            </w:r>
          </w:p>
        </w:tc>
        <w:tc>
          <w:tcPr>
            <w:tcW w:w="0" w:type="dxa"/>
            <w:vAlign w:val="bottom"/>
          </w:tcPr>
          <w:p>
            <w:pPr>
              <w:spacing w:after="0"/>
              <w:rPr>
                <w:sz w:val="1"/>
                <w:szCs w:val="1"/>
                <w:color w:val="auto"/>
              </w:rPr>
            </w:pPr>
          </w:p>
        </w:tc>
      </w:tr>
      <w:tr>
        <w:trPr>
          <w:trHeight w:val="230"/>
        </w:trPr>
        <w:tc>
          <w:tcPr>
            <w:tcW w:w="7020" w:type="dxa"/>
            <w:vAlign w:val="bottom"/>
          </w:tcPr>
          <w:p>
            <w:pPr>
              <w:ind w:left="20"/>
              <w:spacing w:after="0"/>
              <w:rPr>
                <w:sz w:val="20"/>
                <w:szCs w:val="20"/>
                <w:color w:val="auto"/>
              </w:rPr>
            </w:pPr>
            <w:r>
              <w:rPr>
                <w:rFonts w:ascii="Arial" w:cs="Arial" w:eastAsia="Arial" w:hAnsi="Arial"/>
                <w:sz w:val="16"/>
                <w:szCs w:val="16"/>
                <w:color w:val="auto"/>
              </w:rPr>
              <w:t>Income taxes payable</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1,790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1,790</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liabilities, net</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w:t>
            </w:r>
          </w:p>
        </w:tc>
        <w:tc>
          <w:tcPr>
            <w:tcW w:w="0" w:type="dxa"/>
            <w:vAlign w:val="bottom"/>
          </w:tcPr>
          <w:p>
            <w:pPr>
              <w:spacing w:after="0"/>
              <w:rPr>
                <w:sz w:val="1"/>
                <w:szCs w:val="1"/>
                <w:color w:val="auto"/>
              </w:rPr>
            </w:pPr>
          </w:p>
        </w:tc>
      </w:tr>
      <w:tr>
        <w:trPr>
          <w:trHeight w:val="230"/>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non-current liabilities</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27,412</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22,801</w:t>
            </w:r>
          </w:p>
        </w:tc>
        <w:tc>
          <w:tcPr>
            <w:tcW w:w="0" w:type="dxa"/>
            <w:vAlign w:val="bottom"/>
          </w:tcPr>
          <w:p>
            <w:pPr>
              <w:spacing w:after="0"/>
              <w:rPr>
                <w:sz w:val="1"/>
                <w:szCs w:val="1"/>
                <w:color w:val="auto"/>
              </w:rPr>
            </w:pPr>
          </w:p>
        </w:tc>
      </w:tr>
      <w:tr>
        <w:trPr>
          <w:trHeight w:val="223"/>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605,281</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589,748</w:t>
            </w:r>
          </w:p>
        </w:tc>
        <w:tc>
          <w:tcPr>
            <w:tcW w:w="0" w:type="dxa"/>
            <w:vAlign w:val="bottom"/>
          </w:tcPr>
          <w:p>
            <w:pPr>
              <w:spacing w:after="0"/>
              <w:rPr>
                <w:sz w:val="1"/>
                <w:szCs w:val="1"/>
                <w:color w:val="auto"/>
              </w:rPr>
            </w:pPr>
          </w:p>
        </w:tc>
      </w:tr>
      <w:tr>
        <w:trPr>
          <w:trHeight w:val="193"/>
        </w:trPr>
        <w:tc>
          <w:tcPr>
            <w:tcW w:w="7020" w:type="dxa"/>
            <w:vAlign w:val="bottom"/>
          </w:tcPr>
          <w:p>
            <w:pPr>
              <w:ind w:left="20"/>
              <w:spacing w:after="0"/>
              <w:rPr>
                <w:sz w:val="20"/>
                <w:szCs w:val="20"/>
                <w:color w:val="auto"/>
              </w:rPr>
            </w:pPr>
            <w:r>
              <w:rPr>
                <w:rFonts w:ascii="Arial" w:cs="Arial" w:eastAsia="Arial" w:hAnsi="Arial"/>
                <w:sz w:val="16"/>
                <w:szCs w:val="16"/>
                <w:color w:val="auto"/>
              </w:rPr>
              <w:t>Commitments and contingencies</w:t>
            </w:r>
          </w:p>
        </w:tc>
        <w:tc>
          <w:tcPr>
            <w:tcW w:w="2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Preferred stock, $0.001 par value; 15,000,000 shares authorized, none issued</w:t>
            </w:r>
          </w:p>
        </w:tc>
        <w:tc>
          <w:tcPr>
            <w:tcW w:w="24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7020" w:type="dxa"/>
            <w:vAlign w:val="bottom"/>
          </w:tcPr>
          <w:p>
            <w:pPr>
              <w:ind w:left="20"/>
              <w:spacing w:after="0"/>
              <w:rPr>
                <w:sz w:val="20"/>
                <w:szCs w:val="20"/>
                <w:color w:val="auto"/>
              </w:rPr>
            </w:pPr>
            <w:r>
              <w:rPr>
                <w:rFonts w:ascii="Arial" w:cs="Arial" w:eastAsia="Arial" w:hAnsi="Arial"/>
                <w:sz w:val="16"/>
                <w:szCs w:val="16"/>
                <w:b w:val="1"/>
                <w:bCs w:val="1"/>
                <w:color w:val="auto"/>
              </w:rPr>
              <w:t>ExlService Holdings, Inc. Stockholders’ equity:</w:t>
            </w: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7020" w:type="dxa"/>
            <w:vAlign w:val="bottom"/>
            <w:shd w:val="clear" w:color="auto" w:fill="CCEEFF"/>
          </w:tcPr>
          <w:p>
            <w:pPr>
              <w:ind w:left="340"/>
              <w:spacing w:after="0" w:line="168" w:lineRule="exact"/>
              <w:rPr>
                <w:sz w:val="20"/>
                <w:szCs w:val="20"/>
                <w:color w:val="auto"/>
              </w:rPr>
            </w:pPr>
            <w:r>
              <w:rPr>
                <w:rFonts w:ascii="Arial" w:cs="Arial" w:eastAsia="Arial" w:hAnsi="Arial"/>
                <w:sz w:val="16"/>
                <w:szCs w:val="16"/>
                <w:color w:val="auto"/>
                <w:w w:val="96"/>
              </w:rPr>
              <w:t>Common stock, $0.001 par value; 100,000,000 shares authorized, 39,795,161 shares issued and</w:t>
            </w:r>
          </w:p>
        </w:tc>
        <w:tc>
          <w:tcPr>
            <w:tcW w:w="24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020" w:type="dxa"/>
            <w:vAlign w:val="bottom"/>
            <w:shd w:val="clear" w:color="auto" w:fill="CCEEFF"/>
          </w:tcPr>
          <w:p>
            <w:pPr>
              <w:ind w:left="340"/>
              <w:spacing w:after="0" w:line="162" w:lineRule="exact"/>
              <w:rPr>
                <w:sz w:val="20"/>
                <w:szCs w:val="20"/>
                <w:color w:val="auto"/>
              </w:rPr>
            </w:pPr>
            <w:r>
              <w:rPr>
                <w:rFonts w:ascii="Arial" w:cs="Arial" w:eastAsia="Arial" w:hAnsi="Arial"/>
                <w:sz w:val="16"/>
                <w:szCs w:val="16"/>
                <w:color w:val="auto"/>
                <w:w w:val="95"/>
              </w:rPr>
              <w:t>33,124,035 shares outstanding as of June 30, 2022 and 39,508,340 shares issued and 33,291,482</w:t>
            </w:r>
          </w:p>
        </w:tc>
        <w:tc>
          <w:tcPr>
            <w:tcW w:w="240" w:type="dxa"/>
            <w:vAlign w:val="bottom"/>
            <w:shd w:val="clear" w:color="auto" w:fill="CCEEFF"/>
          </w:tcPr>
          <w:p>
            <w:pPr>
              <w:spacing w:after="0"/>
              <w:rPr>
                <w:sz w:val="14"/>
                <w:szCs w:val="14"/>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2"/>
        </w:trPr>
        <w:tc>
          <w:tcPr>
            <w:tcW w:w="70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shares outstanding as of December 31, 2021</w:t>
            </w:r>
          </w:p>
        </w:tc>
        <w:tc>
          <w:tcPr>
            <w:tcW w:w="240" w:type="dxa"/>
            <w:vAlign w:val="bottom"/>
            <w:shd w:val="clear" w:color="auto" w:fill="CCEEFF"/>
          </w:tcPr>
          <w:p>
            <w:pPr>
              <w:spacing w:after="0"/>
              <w:rPr>
                <w:sz w:val="18"/>
                <w:szCs w:val="18"/>
                <w:color w:val="auto"/>
              </w:rPr>
            </w:pPr>
          </w:p>
        </w:tc>
        <w:tc>
          <w:tcPr>
            <w:tcW w:w="14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20" w:type="dxa"/>
            <w:vAlign w:val="bottom"/>
          </w:tcPr>
          <w:p>
            <w:pPr>
              <w:ind w:left="340"/>
              <w:spacing w:after="0"/>
              <w:rPr>
                <w:sz w:val="20"/>
                <w:szCs w:val="20"/>
                <w:color w:val="auto"/>
              </w:rPr>
            </w:pPr>
            <w:r>
              <w:rPr>
                <w:rFonts w:ascii="Arial" w:cs="Arial" w:eastAsia="Arial" w:hAnsi="Arial"/>
                <w:sz w:val="16"/>
                <w:szCs w:val="16"/>
                <w:color w:val="auto"/>
              </w:rPr>
              <w:t>Additional paid-in capital</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420,306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395,742</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Retained earnings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828,161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756,137</w:t>
            </w:r>
          </w:p>
        </w:tc>
        <w:tc>
          <w:tcPr>
            <w:tcW w:w="0" w:type="dxa"/>
            <w:vAlign w:val="bottom"/>
          </w:tcPr>
          <w:p>
            <w:pPr>
              <w:spacing w:after="0"/>
              <w:rPr>
                <w:sz w:val="1"/>
                <w:szCs w:val="1"/>
                <w:color w:val="auto"/>
              </w:rPr>
            </w:pPr>
          </w:p>
        </w:tc>
      </w:tr>
      <w:tr>
        <w:trPr>
          <w:trHeight w:val="230"/>
        </w:trPr>
        <w:tc>
          <w:tcPr>
            <w:tcW w:w="702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Accumulated other comprehensive loss</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(133,374)</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(89,474)</w:t>
            </w:r>
          </w:p>
        </w:tc>
        <w:tc>
          <w:tcPr>
            <w:tcW w:w="0" w:type="dxa"/>
            <w:vAlign w:val="bottom"/>
          </w:tcPr>
          <w:p>
            <w:pPr>
              <w:spacing w:after="0"/>
              <w:rPr>
                <w:sz w:val="1"/>
                <w:szCs w:val="1"/>
                <w:color w:val="auto"/>
              </w:rPr>
            </w:pPr>
          </w:p>
        </w:tc>
      </w:tr>
      <w:tr>
        <w:trPr>
          <w:trHeight w:val="223"/>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including shares held in treasury</w:t>
            </w: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1,115,133</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1,062,445</w:t>
            </w:r>
          </w:p>
        </w:tc>
        <w:tc>
          <w:tcPr>
            <w:tcW w:w="0" w:type="dxa"/>
            <w:vAlign w:val="bottom"/>
          </w:tcPr>
          <w:p>
            <w:pPr>
              <w:spacing w:after="0"/>
              <w:rPr>
                <w:sz w:val="1"/>
                <w:szCs w:val="1"/>
                <w:color w:val="auto"/>
              </w:rPr>
            </w:pPr>
          </w:p>
        </w:tc>
      </w:tr>
      <w:tr>
        <w:trPr>
          <w:trHeight w:val="146"/>
        </w:trPr>
        <w:tc>
          <w:tcPr>
            <w:tcW w:w="7020" w:type="dxa"/>
            <w:vAlign w:val="bottom"/>
          </w:tcPr>
          <w:p>
            <w:pPr>
              <w:ind w:left="20"/>
              <w:spacing w:after="0" w:line="146" w:lineRule="exact"/>
              <w:rPr>
                <w:sz w:val="20"/>
                <w:szCs w:val="20"/>
                <w:color w:val="auto"/>
              </w:rPr>
            </w:pPr>
            <w:r>
              <w:rPr>
                <w:rFonts w:ascii="Arial" w:cs="Arial" w:eastAsia="Arial" w:hAnsi="Arial"/>
                <w:sz w:val="16"/>
                <w:szCs w:val="16"/>
                <w:color w:val="auto"/>
                <w:w w:val="98"/>
              </w:rPr>
              <w:t>Less: 6,671,126 shares as of June 30, 2022 and 6,216,858 shares as of December 31, 2021, held in</w:t>
            </w:r>
          </w:p>
        </w:tc>
        <w:tc>
          <w:tcPr>
            <w:tcW w:w="240" w:type="dxa"/>
            <w:vAlign w:val="bottom"/>
          </w:tcPr>
          <w:p>
            <w:pPr>
              <w:spacing w:after="0"/>
              <w:rPr>
                <w:sz w:val="12"/>
                <w:szCs w:val="12"/>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(429,480)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(369,289)</w:t>
            </w:r>
          </w:p>
        </w:tc>
        <w:tc>
          <w:tcPr>
            <w:tcW w:w="0" w:type="dxa"/>
            <w:vAlign w:val="bottom"/>
          </w:tcPr>
          <w:p>
            <w:pPr>
              <w:spacing w:after="0"/>
              <w:rPr>
                <w:sz w:val="1"/>
                <w:szCs w:val="1"/>
                <w:color w:val="auto"/>
              </w:rPr>
            </w:pPr>
          </w:p>
        </w:tc>
      </w:tr>
      <w:tr>
        <w:trPr>
          <w:trHeight w:val="212"/>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treasury, at cost</w:t>
            </w: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Stockholders’ equity</w:t>
            </w: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685,653</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693,156</w:t>
            </w:r>
          </w:p>
        </w:tc>
        <w:tc>
          <w:tcPr>
            <w:tcW w:w="0" w:type="dxa"/>
            <w:vAlign w:val="bottom"/>
          </w:tcPr>
          <w:p>
            <w:pPr>
              <w:spacing w:after="0"/>
              <w:rPr>
                <w:sz w:val="1"/>
                <w:szCs w:val="1"/>
                <w:color w:val="auto"/>
              </w:rPr>
            </w:pPr>
          </w:p>
        </w:tc>
      </w:tr>
      <w:tr>
        <w:trPr>
          <w:trHeight w:val="223"/>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Total equity</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685,653</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693,156</w:t>
            </w:r>
          </w:p>
        </w:tc>
        <w:tc>
          <w:tcPr>
            <w:tcW w:w="0" w:type="dxa"/>
            <w:vAlign w:val="bottom"/>
          </w:tcPr>
          <w:p>
            <w:pPr>
              <w:spacing w:after="0"/>
              <w:rPr>
                <w:sz w:val="1"/>
                <w:szCs w:val="1"/>
                <w:color w:val="auto"/>
              </w:rPr>
            </w:pPr>
          </w:p>
        </w:tc>
      </w:tr>
      <w:tr>
        <w:trPr>
          <w:trHeight w:val="248"/>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liabilities and stockholders’ equity</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1,290,934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1,282,904</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360"/>
          </w:cols>
          <w:pgMar w:left="760" w:top="891" w:right="77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Adjusted Financial Measures to GAAP Measures</w:t>
      </w:r>
    </w:p>
    <w:p>
      <w:pPr>
        <w:spacing w:after="0" w:line="283" w:lineRule="exact"/>
        <w:rPr>
          <w:sz w:val="20"/>
          <w:szCs w:val="20"/>
          <w:color w:val="auto"/>
        </w:rPr>
      </w:pPr>
    </w:p>
    <w:p>
      <w:pPr>
        <w:ind w:firstLine="405"/>
        <w:spacing w:after="0" w:line="324" w:lineRule="auto"/>
        <w:rPr>
          <w:sz w:val="20"/>
          <w:szCs w:val="20"/>
          <w:color w:val="auto"/>
        </w:rPr>
      </w:pPr>
      <w:r>
        <w:rPr>
          <w:rFonts w:ascii="Arial" w:cs="Arial" w:eastAsia="Arial" w:hAnsi="Arial"/>
          <w:sz w:val="18"/>
          <w:szCs w:val="18"/>
          <w:color w:val="auto"/>
        </w:rPr>
        <w:t>In addition to its reported operating results in accordance with U.S. generally accepted accounting principles (GAAP), EXL has included in this release certain financial measures that are considered non-GAAP financial measures, including the following:</w:t>
      </w:r>
    </w:p>
    <w:p>
      <w:pPr>
        <w:spacing w:after="0" w:line="89" w:lineRule="exact"/>
        <w:rPr>
          <w:sz w:val="20"/>
          <w:szCs w:val="20"/>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Adjusted operating income and adjusted operating income margin;</w:t>
      </w:r>
    </w:p>
    <w:p>
      <w:pPr>
        <w:spacing w:after="0" w:line="76" w:lineRule="exact"/>
        <w:rPr>
          <w:rFonts w:ascii="Arial" w:cs="Arial" w:eastAsia="Arial" w:hAnsi="Arial"/>
          <w:sz w:val="18"/>
          <w:szCs w:val="18"/>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Adjusted EBITDA and adjusted EBITDA margin;</w:t>
      </w:r>
    </w:p>
    <w:p>
      <w:pPr>
        <w:spacing w:after="0" w:line="49" w:lineRule="exact"/>
        <w:rPr>
          <w:rFonts w:ascii="Arial" w:cs="Arial" w:eastAsia="Arial" w:hAnsi="Arial"/>
          <w:sz w:val="18"/>
          <w:szCs w:val="18"/>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Adjusted net income and adjusted diluted earnings per share; and</w:t>
      </w:r>
    </w:p>
    <w:p>
      <w:pPr>
        <w:spacing w:after="0" w:line="49" w:lineRule="exact"/>
        <w:rPr>
          <w:rFonts w:ascii="Arial" w:cs="Arial" w:eastAsia="Arial" w:hAnsi="Arial"/>
          <w:sz w:val="18"/>
          <w:szCs w:val="18"/>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Revenue growth on an organic constant currency basis.</w:t>
      </w:r>
    </w:p>
    <w:p>
      <w:pPr>
        <w:spacing w:after="0" w:line="293" w:lineRule="exact"/>
        <w:rPr>
          <w:sz w:val="20"/>
          <w:szCs w:val="20"/>
          <w:color w:val="auto"/>
        </w:rPr>
      </w:pPr>
    </w:p>
    <w:p>
      <w:pPr>
        <w:jc w:val="both"/>
        <w:ind w:firstLine="405"/>
        <w:spacing w:after="0" w:line="340" w:lineRule="auto"/>
        <w:rPr>
          <w:sz w:val="20"/>
          <w:szCs w:val="20"/>
          <w:color w:val="auto"/>
        </w:rPr>
      </w:pPr>
      <w:r>
        <w:rPr>
          <w:rFonts w:ascii="Arial" w:cs="Arial" w:eastAsia="Arial" w:hAnsi="Arial"/>
          <w:sz w:val="16"/>
          <w:szCs w:val="16"/>
          <w:color w:val="auto"/>
        </w:rPr>
        <w:t>These non-GAAP financial measures are not based on any comprehensive set of accounting rules or principles, should not be considered a substitute for, or superior to, financial measures calculated in accordance with GAAP, and may be different from non-GAAP financial measures used by other companies. Accordingly, the financial results calculated in accordance with GAAP and reconciliations from those financial statements should be carefully evaluated. EXL believes that providing these non-GAAP financial measures may help investors better understand EXL’s underlying financial performance. Management also believes that these non-GAAP financial measures, when read in conjunction with EXL’s reported results, can provide useful supplemental information for investors analyzing period-to-period comparisons of the Company’s results and comparisons of the Company’s results with the results of other companies. Additionally, management considers some of these non-GAAP financial measures to determine variable compensation of its employees. The Company believes that it is unreasonably difficult to provide its earnings per share financial guidance in accordance with GAAP, or a qualitative reconciliation thereof, for a number of reasons, including, without limitation, the Company’s inability to predict its future stock-based compensation expense under ASC Topic 718, the amortization of intangibles associated with further acquisitions and the currency fluctuations and associated tax impacts. As such, the Company presents guidance with respect to adjusted diluted earnings per share. The Company also incurs significant non-cash charges for depreciation that may not be indicative of the Company’s ability to generate cash flow.</w:t>
      </w:r>
    </w:p>
    <w:p>
      <w:pPr>
        <w:spacing w:after="0" w:line="193"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8"/>
          <w:szCs w:val="18"/>
          <w:color w:val="auto"/>
        </w:rPr>
        <w:t>EXL non-GAAP financial measures exclude, where applicable, stock-based compensation expense, amortization of acquisition-related intangible assets, provision for litigation settlement, non-cash interest expense on convertible senior notes, impairment charges on acquired long-lived and intangible assets including goodwill, gains or losses on settlement of convertible senior notes, restructuring charges, effects of termination of leases, certain defined social security contributions, other acquisition-related expenses or benefits and effect of any non-recurring tax adjustments. Acquisition-related expenses or benefits include, changes in the fair value of contingent consideration, external deal costs, integration expenses, direct and incremental travel costs and non-recurring benefits or losses. Our adjusted net income and adjusted diluted EPS also excludes the income tax impact of the above pre-tax items, as applicable. The income tax impact of each item is calculated by applying the statutory rate and local tax regulations in the jurisdiction in which the item was incurred.</w:t>
      </w:r>
    </w:p>
    <w:p>
      <w:pPr>
        <w:spacing w:after="0" w:line="218" w:lineRule="exact"/>
        <w:rPr>
          <w:sz w:val="20"/>
          <w:szCs w:val="20"/>
          <w:color w:val="auto"/>
        </w:rPr>
      </w:pPr>
    </w:p>
    <w:p>
      <w:pPr>
        <w:jc w:val="both"/>
        <w:ind w:firstLine="405"/>
        <w:spacing w:after="0" w:line="304" w:lineRule="auto"/>
        <w:rPr>
          <w:sz w:val="20"/>
          <w:szCs w:val="20"/>
          <w:color w:val="auto"/>
        </w:rPr>
      </w:pPr>
      <w:r>
        <w:rPr>
          <w:rFonts w:ascii="Arial" w:cs="Arial" w:eastAsia="Arial" w:hAnsi="Arial"/>
          <w:sz w:val="18"/>
          <w:szCs w:val="18"/>
          <w:color w:val="auto"/>
        </w:rPr>
        <w:t>A limitation of using non-GAAP financial measures versus financial measures calculated in accordance with GAAP is that non-GAAP financial measures do not reflect all of the amounts associated with our operating results as determined in accordance with GAAP and exclude costs that are recurring, namely stock-based compensation and amortization of acquisition-related intangible assets. EXL compensates for these limitations by providing specific information regarding the GAAP amounts excluded from non-GAAP financial measures to allow investors to evaluate such non-GAAP financial measures.</w:t>
      </w:r>
    </w:p>
    <w:p>
      <w:pPr>
        <w:spacing w:after="0" w:line="215" w:lineRule="exact"/>
        <w:rPr>
          <w:sz w:val="20"/>
          <w:szCs w:val="20"/>
          <w:color w:val="auto"/>
        </w:rPr>
      </w:pPr>
    </w:p>
    <w:p>
      <w:pPr>
        <w:jc w:val="both"/>
        <w:ind w:firstLine="405"/>
        <w:spacing w:after="0" w:line="346" w:lineRule="auto"/>
        <w:rPr>
          <w:sz w:val="20"/>
          <w:szCs w:val="20"/>
          <w:color w:val="auto"/>
        </w:rPr>
      </w:pPr>
      <w:r>
        <w:rPr>
          <w:rFonts w:ascii="Arial" w:cs="Arial" w:eastAsia="Arial" w:hAnsi="Arial"/>
          <w:sz w:val="16"/>
          <w:szCs w:val="16"/>
          <w:color w:val="auto"/>
        </w:rPr>
        <w:t>The information provided on an organic constant currency basis reflects a comparison of current period results translated at the prior period currency rates and exclude the impact from an acquisition for a twelve-month period from the date of the acquisition. This information is provided because EXL believes that it provides useful comparative incremental information to investors regarding EXL’s true operating performance. EXL’s primary exchange rate exposure is with the Indian Rupee, the U.K. pound sterling and the Philippine Peso. The average exchange rate of the U.S. Dollar against the Indian Rupee increased from 73.67 during the quarter ended June 30, 2021 to 77.68 during the quarter ended June 30, 2022, representing an appreciation of 5.4%. The average exchange rate of the U.S. Dollar against the Philippine Peso increased from 48.20 during the quarter ended</w:t>
      </w:r>
    </w:p>
    <w:p>
      <w:pPr>
        <w:sectPr>
          <w:pgSz w:w="11900" w:h="16838" w:orient="portrait"/>
          <w:cols w:equalWidth="0" w:num="1">
            <w:col w:w="11240"/>
          </w:cols>
          <w:pgMar w:left="320" w:top="931" w:right="339" w:bottom="1440" w:gutter="0" w:footer="0" w:header="0"/>
        </w:sectPr>
      </w:pPr>
    </w:p>
    <w:bookmarkStart w:id="10" w:name="page11"/>
    <w:bookmarkEnd w:id="10"/>
    <w:p>
      <w:pPr>
        <w:jc w:val="both"/>
        <w:spacing w:after="0" w:line="310" w:lineRule="auto"/>
        <w:rPr>
          <w:sz w:val="20"/>
          <w:szCs w:val="20"/>
          <w:color w:val="auto"/>
        </w:rPr>
      </w:pPr>
      <w:r>
        <w:rPr>
          <w:rFonts w:ascii="Arial" w:cs="Arial" w:eastAsia="Arial" w:hAnsi="Arial"/>
          <w:sz w:val="18"/>
          <w:szCs w:val="18"/>
          <w:color w:val="auto"/>
        </w:rPr>
        <w:t>June 30, 2021 to 53.18 during the quarter ended June 30, 2022, representing an appreciation of 10.3%. The average exchange rate of the British Pound against the U.S. Dollar decreased from 1.40 during the quarter ended June 30, 2021 to 1.24 during the quarter ended June 30, 2022, representing an appreciation of 11.2%.</w:t>
      </w:r>
    </w:p>
    <w:p>
      <w:pPr>
        <w:spacing w:after="0" w:line="210" w:lineRule="exact"/>
        <w:rPr>
          <w:sz w:val="20"/>
          <w:szCs w:val="20"/>
          <w:color w:val="auto"/>
        </w:rPr>
      </w:pPr>
    </w:p>
    <w:p>
      <w:pPr>
        <w:jc w:val="both"/>
        <w:ind w:right="20" w:firstLine="405"/>
        <w:spacing w:after="0" w:line="324" w:lineRule="auto"/>
        <w:rPr>
          <w:sz w:val="20"/>
          <w:szCs w:val="20"/>
          <w:color w:val="auto"/>
        </w:rPr>
      </w:pPr>
      <w:r>
        <w:rPr>
          <w:rFonts w:ascii="Arial" w:cs="Arial" w:eastAsia="Arial" w:hAnsi="Arial"/>
          <w:sz w:val="18"/>
          <w:szCs w:val="18"/>
          <w:color w:val="auto"/>
        </w:rPr>
        <w:t>The following table shows the reconciliation of these non-GAAP financial measures for the three months ended June 30, 2022 and June 30, 2021, and the three months ended March 31, 2022:</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Reconciliation of Adjusted Operating Income and Adjusted EBITDA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(Amounts in thousands)</w:t>
      </w:r>
    </w:p>
    <w:p>
      <w:pPr>
        <w:spacing w:after="0" w:line="130" w:lineRule="exact"/>
        <w:rPr>
          <w:sz w:val="20"/>
          <w:szCs w:val="20"/>
          <w:color w:val="auto"/>
        </w:rPr>
      </w:pPr>
    </w:p>
    <w:tbl>
      <w:tblPr>
        <w:tblLayout w:type="fixed"/>
        <w:tblInd w:w="280" w:type="dxa"/>
        <w:tblCellMar>
          <w:top w:w="0" w:type="dxa"/>
          <w:left w:w="0" w:type="dxa"/>
          <w:bottom w:w="0" w:type="dxa"/>
          <w:right w:w="0" w:type="dxa"/>
        </w:tblCellMar>
      </w:tblPr>
      <w:tr>
        <w:trPr>
          <w:trHeight w:val="223"/>
        </w:trPr>
        <w:tc>
          <w:tcPr>
            <w:tcW w:w="59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b w:val="1"/>
                <w:bCs w:val="1"/>
                <w:color w:val="auto"/>
                <w:w w:val="97"/>
              </w:rPr>
              <w:t>Three months ended</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9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right"/>
              <w:ind w:right="92"/>
              <w:spacing w:after="0"/>
              <w:rPr>
                <w:sz w:val="20"/>
                <w:szCs w:val="20"/>
                <w:color w:val="auto"/>
              </w:rPr>
            </w:pPr>
            <w:r>
              <w:rPr>
                <w:rFonts w:ascii="Arial" w:cs="Arial" w:eastAsia="Arial" w:hAnsi="Arial"/>
                <w:sz w:val="16"/>
                <w:szCs w:val="16"/>
                <w:b w:val="1"/>
                <w:bCs w:val="1"/>
                <w:color w:val="auto"/>
              </w:rPr>
              <w:t>June 30,</w:t>
            </w:r>
          </w:p>
        </w:tc>
        <w:tc>
          <w:tcPr>
            <w:tcW w:w="10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13"/>
              <w:spacing w:after="0"/>
              <w:rPr>
                <w:sz w:val="20"/>
                <w:szCs w:val="20"/>
                <w:color w:val="auto"/>
              </w:rPr>
            </w:pPr>
            <w:r>
              <w:rPr>
                <w:rFonts w:ascii="Arial" w:cs="Arial" w:eastAsia="Arial" w:hAnsi="Arial"/>
                <w:sz w:val="16"/>
                <w:szCs w:val="16"/>
                <w:b w:val="1"/>
                <w:bCs w:val="1"/>
                <w:color w:val="auto"/>
              </w:rPr>
              <w:t>March 31,</w:t>
            </w:r>
          </w:p>
        </w:tc>
        <w:tc>
          <w:tcPr>
            <w:tcW w:w="0" w:type="dxa"/>
            <w:vAlign w:val="bottom"/>
          </w:tcPr>
          <w:p>
            <w:pPr>
              <w:spacing w:after="0"/>
              <w:rPr>
                <w:sz w:val="1"/>
                <w:szCs w:val="1"/>
                <w:color w:val="auto"/>
              </w:rPr>
            </w:pPr>
          </w:p>
        </w:tc>
      </w:tr>
      <w:tr>
        <w:trPr>
          <w:trHeight w:val="210"/>
        </w:trPr>
        <w:tc>
          <w:tcPr>
            <w:tcW w:w="59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93"/>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93"/>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26"/>
        </w:trPr>
        <w:tc>
          <w:tcPr>
            <w:tcW w:w="5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(GAAP)</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shd w:val="clear" w:color="auto" w:fill="CCEEFF"/>
          </w:tcPr>
          <w:p>
            <w:pPr>
              <w:jc w:val="right"/>
              <w:ind w:right="113"/>
              <w:spacing w:after="0"/>
              <w:rPr>
                <w:sz w:val="20"/>
                <w:szCs w:val="20"/>
                <w:color w:val="auto"/>
              </w:rPr>
            </w:pPr>
            <w:r>
              <w:rPr>
                <w:rFonts w:ascii="Arial" w:cs="Arial" w:eastAsia="Arial" w:hAnsi="Arial"/>
                <w:sz w:val="18"/>
                <w:szCs w:val="18"/>
                <w:b w:val="1"/>
                <w:bCs w:val="1"/>
                <w:color w:val="auto"/>
              </w:rPr>
              <w:t>35,846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b w:val="1"/>
                <w:bCs w:val="1"/>
                <w:color w:val="auto"/>
                <w:w w:val="79"/>
              </w:rPr>
              <w:t>$</w:t>
            </w:r>
          </w:p>
        </w:tc>
        <w:tc>
          <w:tcPr>
            <w:tcW w:w="1080" w:type="dxa"/>
            <w:vAlign w:val="bottom"/>
            <w:shd w:val="clear" w:color="auto" w:fill="CCEEFF"/>
          </w:tcPr>
          <w:p>
            <w:pPr>
              <w:jc w:val="right"/>
              <w:ind w:right="113"/>
              <w:spacing w:after="0"/>
              <w:rPr>
                <w:sz w:val="20"/>
                <w:szCs w:val="20"/>
                <w:color w:val="auto"/>
              </w:rPr>
            </w:pPr>
            <w:r>
              <w:rPr>
                <w:rFonts w:ascii="Arial" w:cs="Arial" w:eastAsia="Arial" w:hAnsi="Arial"/>
                <w:sz w:val="18"/>
                <w:szCs w:val="18"/>
                <w:b w:val="1"/>
                <w:bCs w:val="1"/>
                <w:color w:val="auto"/>
              </w:rPr>
              <w:t>28,021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240" w:type="dxa"/>
            <w:vAlign w:val="bottom"/>
            <w:shd w:val="clear" w:color="auto" w:fill="CCEEFF"/>
          </w:tcPr>
          <w:p>
            <w:pPr>
              <w:jc w:val="right"/>
              <w:ind w:right="113"/>
              <w:spacing w:after="0"/>
              <w:rPr>
                <w:sz w:val="20"/>
                <w:szCs w:val="20"/>
                <w:color w:val="auto"/>
              </w:rPr>
            </w:pPr>
            <w:r>
              <w:rPr>
                <w:rFonts w:ascii="Arial" w:cs="Arial" w:eastAsia="Arial" w:hAnsi="Arial"/>
                <w:sz w:val="18"/>
                <w:szCs w:val="18"/>
                <w:b w:val="1"/>
                <w:bCs w:val="1"/>
                <w:color w:val="auto"/>
              </w:rPr>
              <w:t>36,178</w:t>
            </w:r>
          </w:p>
        </w:tc>
        <w:tc>
          <w:tcPr>
            <w:tcW w:w="0" w:type="dxa"/>
            <w:vAlign w:val="bottom"/>
          </w:tcPr>
          <w:p>
            <w:pPr>
              <w:spacing w:after="0"/>
              <w:rPr>
                <w:sz w:val="1"/>
                <w:szCs w:val="1"/>
                <w:color w:val="auto"/>
              </w:rPr>
            </w:pPr>
          </w:p>
        </w:tc>
      </w:tr>
      <w:tr>
        <w:trPr>
          <w:trHeight w:val="229"/>
        </w:trPr>
        <w:tc>
          <w:tcPr>
            <w:tcW w:w="5960" w:type="dxa"/>
            <w:vAlign w:val="bottom"/>
          </w:tcPr>
          <w:p>
            <w:pPr>
              <w:ind w:left="340"/>
              <w:spacing w:after="0"/>
              <w:rPr>
                <w:sz w:val="20"/>
                <w:szCs w:val="20"/>
                <w:color w:val="auto"/>
              </w:rPr>
            </w:pPr>
            <w:r>
              <w:rPr>
                <w:rFonts w:ascii="Arial" w:cs="Arial" w:eastAsia="Arial" w:hAnsi="Arial"/>
                <w:sz w:val="16"/>
                <w:szCs w:val="16"/>
                <w:color w:val="auto"/>
              </w:rPr>
              <w:t>add: Income tax expense</w:t>
            </w:r>
          </w:p>
        </w:tc>
        <w:tc>
          <w:tcPr>
            <w:tcW w:w="360" w:type="dxa"/>
            <w:vAlign w:val="bottom"/>
          </w:tcPr>
          <w:p>
            <w:pPr>
              <w:spacing w:after="0"/>
              <w:rPr>
                <w:sz w:val="19"/>
                <w:szCs w:val="19"/>
                <w:color w:val="auto"/>
              </w:rPr>
            </w:pPr>
          </w:p>
        </w:tc>
        <w:tc>
          <w:tcPr>
            <w:tcW w:w="1140" w:type="dxa"/>
            <w:vAlign w:val="bottom"/>
          </w:tcPr>
          <w:p>
            <w:pPr>
              <w:jc w:val="right"/>
              <w:ind w:right="113"/>
              <w:spacing w:after="0"/>
              <w:rPr>
                <w:sz w:val="20"/>
                <w:szCs w:val="20"/>
                <w:color w:val="auto"/>
              </w:rPr>
            </w:pPr>
            <w:r>
              <w:rPr>
                <w:rFonts w:ascii="Arial" w:cs="Arial" w:eastAsia="Arial" w:hAnsi="Arial"/>
                <w:sz w:val="18"/>
                <w:szCs w:val="18"/>
                <w:color w:val="auto"/>
              </w:rPr>
              <w:t>11,125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ind w:right="113"/>
              <w:spacing w:after="0"/>
              <w:rPr>
                <w:sz w:val="20"/>
                <w:szCs w:val="20"/>
                <w:color w:val="auto"/>
              </w:rPr>
            </w:pPr>
            <w:r>
              <w:rPr>
                <w:rFonts w:ascii="Arial" w:cs="Arial" w:eastAsia="Arial" w:hAnsi="Arial"/>
                <w:sz w:val="18"/>
                <w:szCs w:val="18"/>
                <w:color w:val="auto"/>
              </w:rPr>
              <w:t>8,865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ind w:right="113"/>
              <w:spacing w:after="0"/>
              <w:rPr>
                <w:sz w:val="20"/>
                <w:szCs w:val="20"/>
                <w:color w:val="auto"/>
              </w:rPr>
            </w:pPr>
            <w:r>
              <w:rPr>
                <w:rFonts w:ascii="Arial" w:cs="Arial" w:eastAsia="Arial" w:hAnsi="Arial"/>
                <w:sz w:val="18"/>
                <w:szCs w:val="18"/>
                <w:color w:val="auto"/>
              </w:rPr>
              <w:t>11,202</w:t>
            </w:r>
          </w:p>
        </w:tc>
        <w:tc>
          <w:tcPr>
            <w:tcW w:w="0" w:type="dxa"/>
            <w:vAlign w:val="bottom"/>
          </w:tcPr>
          <w:p>
            <w:pPr>
              <w:spacing w:after="0"/>
              <w:rPr>
                <w:sz w:val="1"/>
                <w:szCs w:val="1"/>
                <w:color w:val="auto"/>
              </w:rPr>
            </w:pPr>
          </w:p>
        </w:tc>
      </w:tr>
      <w:tr>
        <w:trPr>
          <w:trHeight w:val="179"/>
        </w:trPr>
        <w:tc>
          <w:tcPr>
            <w:tcW w:w="5960" w:type="dxa"/>
            <w:vAlign w:val="bottom"/>
            <w:shd w:val="clear" w:color="auto" w:fill="CCEEFF"/>
          </w:tcPr>
          <w:p>
            <w:pPr>
              <w:ind w:left="20"/>
              <w:spacing w:after="0" w:line="179" w:lineRule="exact"/>
              <w:rPr>
                <w:sz w:val="20"/>
                <w:szCs w:val="20"/>
                <w:color w:val="auto"/>
              </w:rPr>
            </w:pPr>
            <w:r>
              <w:rPr>
                <w:rFonts w:ascii="Arial" w:cs="Arial" w:eastAsia="Arial" w:hAnsi="Arial"/>
                <w:sz w:val="16"/>
                <w:szCs w:val="16"/>
                <w:color w:val="auto"/>
                <w:w w:val="95"/>
              </w:rPr>
              <w:t>add/(subtract): Foreign exchange gain/(loss), interest expense, effects of equity-method</w:t>
            </w:r>
          </w:p>
        </w:tc>
        <w:tc>
          <w:tcPr>
            <w:tcW w:w="36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ind w:right="113"/>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ind w:right="73"/>
              <w:spacing w:after="0"/>
              <w:rPr>
                <w:sz w:val="20"/>
                <w:szCs w:val="20"/>
                <w:color w:val="auto"/>
              </w:rPr>
            </w:pPr>
            <w:r>
              <w:rPr>
                <w:rFonts w:ascii="Arial" w:cs="Arial" w:eastAsia="Arial" w:hAnsi="Arial"/>
                <w:sz w:val="18"/>
                <w:szCs w:val="18"/>
                <w:color w:val="auto"/>
              </w:rPr>
              <w:t>(1,056)</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ind w:right="73"/>
              <w:spacing w:after="0"/>
              <w:rPr>
                <w:sz w:val="20"/>
                <w:szCs w:val="20"/>
                <w:color w:val="auto"/>
              </w:rPr>
            </w:pPr>
            <w:r>
              <w:rPr>
                <w:rFonts w:ascii="Arial" w:cs="Arial" w:eastAsia="Arial" w:hAnsi="Arial"/>
                <w:sz w:val="18"/>
                <w:szCs w:val="18"/>
                <w:color w:val="auto"/>
              </w:rPr>
              <w:t>(3,405)</w:t>
            </w:r>
          </w:p>
        </w:tc>
        <w:tc>
          <w:tcPr>
            <w:tcW w:w="0" w:type="dxa"/>
            <w:vAlign w:val="bottom"/>
          </w:tcPr>
          <w:p>
            <w:pPr>
              <w:spacing w:after="0"/>
              <w:rPr>
                <w:sz w:val="1"/>
                <w:szCs w:val="1"/>
                <w:color w:val="auto"/>
              </w:rPr>
            </w:pPr>
          </w:p>
        </w:tc>
      </w:tr>
      <w:tr>
        <w:trPr>
          <w:trHeight w:val="226"/>
        </w:trPr>
        <w:tc>
          <w:tcPr>
            <w:tcW w:w="5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 and other income/(loss), net</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Pr>
          <w:p>
            <w:pPr>
              <w:ind w:left="20"/>
              <w:spacing w:after="0"/>
              <w:rPr>
                <w:sz w:val="20"/>
                <w:szCs w:val="20"/>
                <w:color w:val="auto"/>
              </w:rPr>
            </w:pPr>
            <w:r>
              <w:rPr>
                <w:rFonts w:ascii="Arial" w:cs="Arial" w:eastAsia="Arial" w:hAnsi="Arial"/>
                <w:sz w:val="16"/>
                <w:szCs w:val="16"/>
                <w:b w:val="1"/>
                <w:bCs w:val="1"/>
                <w:color w:val="auto"/>
              </w:rPr>
              <w:t>Income from operations (GAAP)</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ind w:right="113"/>
              <w:spacing w:after="0"/>
              <w:rPr>
                <w:sz w:val="20"/>
                <w:szCs w:val="20"/>
                <w:color w:val="auto"/>
              </w:rPr>
            </w:pPr>
            <w:r>
              <w:rPr>
                <w:rFonts w:ascii="Arial" w:cs="Arial" w:eastAsia="Arial" w:hAnsi="Arial"/>
                <w:sz w:val="18"/>
                <w:szCs w:val="18"/>
                <w:b w:val="1"/>
                <w:bCs w:val="1"/>
                <w:color w:val="auto"/>
              </w:rPr>
              <w:t>47,081</w:t>
            </w:r>
          </w:p>
        </w:tc>
        <w:tc>
          <w:tcPr>
            <w:tcW w:w="120" w:type="dxa"/>
            <w:vAlign w:val="bottom"/>
          </w:tcPr>
          <w:p>
            <w:pPr>
              <w:spacing w:after="0"/>
              <w:rPr>
                <w:sz w:val="19"/>
                <w:szCs w:val="19"/>
                <w:color w:val="auto"/>
              </w:rPr>
            </w:pPr>
          </w:p>
        </w:tc>
        <w:tc>
          <w:tcPr>
            <w:tcW w:w="400" w:type="dxa"/>
            <w:vAlign w:val="bottom"/>
          </w:tcPr>
          <w:p>
            <w:pPr>
              <w:jc w:val="right"/>
              <w:ind w:right="212"/>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Pr>
          <w:p>
            <w:pPr>
              <w:jc w:val="right"/>
              <w:ind w:right="113"/>
              <w:spacing w:after="0"/>
              <w:rPr>
                <w:sz w:val="20"/>
                <w:szCs w:val="20"/>
                <w:color w:val="auto"/>
              </w:rPr>
            </w:pPr>
            <w:r>
              <w:rPr>
                <w:rFonts w:ascii="Arial" w:cs="Arial" w:eastAsia="Arial" w:hAnsi="Arial"/>
                <w:sz w:val="18"/>
                <w:szCs w:val="18"/>
                <w:b w:val="1"/>
                <w:bCs w:val="1"/>
                <w:color w:val="auto"/>
              </w:rPr>
              <w:t>35,830</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Pr>
          <w:p>
            <w:pPr>
              <w:jc w:val="right"/>
              <w:ind w:right="113"/>
              <w:spacing w:after="0"/>
              <w:rPr>
                <w:sz w:val="20"/>
                <w:szCs w:val="20"/>
                <w:color w:val="auto"/>
              </w:rPr>
            </w:pPr>
            <w:r>
              <w:rPr>
                <w:rFonts w:ascii="Arial" w:cs="Arial" w:eastAsia="Arial" w:hAnsi="Arial"/>
                <w:sz w:val="18"/>
                <w:szCs w:val="18"/>
                <w:b w:val="1"/>
                <w:bCs w:val="1"/>
                <w:color w:val="auto"/>
              </w:rPr>
              <w:t>43,975</w:t>
            </w:r>
          </w:p>
        </w:tc>
        <w:tc>
          <w:tcPr>
            <w:tcW w:w="0" w:type="dxa"/>
            <w:vAlign w:val="bottom"/>
          </w:tcPr>
          <w:p>
            <w:pPr>
              <w:spacing w:after="0"/>
              <w:rPr>
                <w:sz w:val="1"/>
                <w:szCs w:val="1"/>
                <w:color w:val="auto"/>
              </w:rPr>
            </w:pPr>
          </w:p>
        </w:tc>
      </w:tr>
      <w:tr>
        <w:trPr>
          <w:trHeight w:val="229"/>
        </w:trPr>
        <w:tc>
          <w:tcPr>
            <w:tcW w:w="59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add: Stock-based compensation expense</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13,340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10,070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11,224</w:t>
            </w:r>
          </w:p>
        </w:tc>
        <w:tc>
          <w:tcPr>
            <w:tcW w:w="0" w:type="dxa"/>
            <w:vAlign w:val="bottom"/>
          </w:tcPr>
          <w:p>
            <w:pPr>
              <w:spacing w:after="0"/>
              <w:rPr>
                <w:sz w:val="1"/>
                <w:szCs w:val="1"/>
                <w:color w:val="auto"/>
              </w:rPr>
            </w:pPr>
          </w:p>
        </w:tc>
      </w:tr>
      <w:tr>
        <w:trPr>
          <w:trHeight w:val="229"/>
        </w:trPr>
        <w:tc>
          <w:tcPr>
            <w:tcW w:w="5960" w:type="dxa"/>
            <w:vAlign w:val="bottom"/>
          </w:tcPr>
          <w:p>
            <w:pPr>
              <w:ind w:left="340"/>
              <w:spacing w:after="0"/>
              <w:rPr>
                <w:sz w:val="20"/>
                <w:szCs w:val="20"/>
                <w:color w:val="auto"/>
              </w:rPr>
            </w:pPr>
            <w:r>
              <w:rPr>
                <w:rFonts w:ascii="Arial" w:cs="Arial" w:eastAsia="Arial" w:hAnsi="Arial"/>
                <w:sz w:val="16"/>
                <w:szCs w:val="16"/>
                <w:color w:val="auto"/>
              </w:rPr>
              <w:t>add: Amortization of acquisition-related intangibles</w:t>
            </w:r>
          </w:p>
        </w:tc>
        <w:tc>
          <w:tcPr>
            <w:tcW w:w="360" w:type="dxa"/>
            <w:vAlign w:val="bottom"/>
          </w:tcPr>
          <w:p>
            <w:pPr>
              <w:spacing w:after="0"/>
              <w:rPr>
                <w:sz w:val="19"/>
                <w:szCs w:val="19"/>
                <w:color w:val="auto"/>
              </w:rPr>
            </w:pPr>
          </w:p>
        </w:tc>
        <w:tc>
          <w:tcPr>
            <w:tcW w:w="1140" w:type="dxa"/>
            <w:vAlign w:val="bottom"/>
          </w:tcPr>
          <w:p>
            <w:pPr>
              <w:jc w:val="right"/>
              <w:ind w:right="113"/>
              <w:spacing w:after="0"/>
              <w:rPr>
                <w:sz w:val="20"/>
                <w:szCs w:val="20"/>
                <w:color w:val="auto"/>
              </w:rPr>
            </w:pPr>
            <w:r>
              <w:rPr>
                <w:rFonts w:ascii="Arial" w:cs="Arial" w:eastAsia="Arial" w:hAnsi="Arial"/>
                <w:sz w:val="18"/>
                <w:szCs w:val="18"/>
                <w:color w:val="auto"/>
              </w:rPr>
              <w:t>4,146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ind w:right="113"/>
              <w:spacing w:after="0"/>
              <w:rPr>
                <w:sz w:val="20"/>
                <w:szCs w:val="20"/>
                <w:color w:val="auto"/>
              </w:rPr>
            </w:pPr>
            <w:r>
              <w:rPr>
                <w:rFonts w:ascii="Arial" w:cs="Arial" w:eastAsia="Arial" w:hAnsi="Arial"/>
                <w:sz w:val="18"/>
                <w:szCs w:val="18"/>
                <w:color w:val="auto"/>
              </w:rPr>
              <w:t>3,397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ind w:right="113"/>
              <w:spacing w:after="0"/>
              <w:rPr>
                <w:sz w:val="20"/>
                <w:szCs w:val="20"/>
                <w:color w:val="auto"/>
              </w:rPr>
            </w:pPr>
            <w:r>
              <w:rPr>
                <w:rFonts w:ascii="Arial" w:cs="Arial" w:eastAsia="Arial" w:hAnsi="Arial"/>
                <w:sz w:val="18"/>
                <w:szCs w:val="18"/>
                <w:color w:val="auto"/>
              </w:rPr>
              <w:t>4,486</w:t>
            </w:r>
          </w:p>
        </w:tc>
        <w:tc>
          <w:tcPr>
            <w:tcW w:w="0" w:type="dxa"/>
            <w:vAlign w:val="bottom"/>
          </w:tcPr>
          <w:p>
            <w:pPr>
              <w:spacing w:after="0"/>
              <w:rPr>
                <w:sz w:val="1"/>
                <w:szCs w:val="1"/>
                <w:color w:val="auto"/>
              </w:rPr>
            </w:pPr>
          </w:p>
        </w:tc>
      </w:tr>
      <w:tr>
        <w:trPr>
          <w:trHeight w:val="230"/>
        </w:trPr>
        <w:tc>
          <w:tcPr>
            <w:tcW w:w="59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add: Other expenses (a)</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217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23"/>
        </w:trPr>
        <w:tc>
          <w:tcPr>
            <w:tcW w:w="5960" w:type="dxa"/>
            <w:vAlign w:val="bottom"/>
          </w:tcPr>
          <w:p>
            <w:pPr>
              <w:ind w:left="20"/>
              <w:spacing w:after="0"/>
              <w:rPr>
                <w:sz w:val="20"/>
                <w:szCs w:val="20"/>
                <w:color w:val="auto"/>
              </w:rPr>
            </w:pPr>
            <w:r>
              <w:rPr>
                <w:rFonts w:ascii="Arial" w:cs="Arial" w:eastAsia="Arial" w:hAnsi="Arial"/>
                <w:sz w:val="16"/>
                <w:szCs w:val="16"/>
                <w:b w:val="1"/>
                <w:bCs w:val="1"/>
                <w:color w:val="auto"/>
              </w:rPr>
              <w:t>Adjusted operating income (Non-GAAP)</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8"/>
                <w:szCs w:val="18"/>
                <w:b w:val="1"/>
                <w:bCs w:val="1"/>
                <w:color w:val="auto"/>
              </w:rPr>
              <w:t>64,784</w:t>
            </w:r>
          </w:p>
        </w:tc>
        <w:tc>
          <w:tcPr>
            <w:tcW w:w="12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8"/>
                <w:szCs w:val="18"/>
                <w:b w:val="1"/>
                <w:bCs w:val="1"/>
                <w:color w:val="auto"/>
              </w:rPr>
              <w:t>49,297</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8"/>
                <w:szCs w:val="18"/>
                <w:b w:val="1"/>
                <w:bCs w:val="1"/>
                <w:color w:val="auto"/>
              </w:rPr>
              <w:t>59,819</w:t>
            </w:r>
          </w:p>
        </w:tc>
        <w:tc>
          <w:tcPr>
            <w:tcW w:w="0" w:type="dxa"/>
            <w:vAlign w:val="bottom"/>
          </w:tcPr>
          <w:p>
            <w:pPr>
              <w:spacing w:after="0"/>
              <w:rPr>
                <w:sz w:val="1"/>
                <w:szCs w:val="1"/>
                <w:color w:val="auto"/>
              </w:rPr>
            </w:pPr>
          </w:p>
        </w:tc>
      </w:tr>
      <w:tr>
        <w:trPr>
          <w:trHeight w:val="20"/>
        </w:trPr>
        <w:tc>
          <w:tcPr>
            <w:tcW w:w="59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6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Adjusted operating income margin as a % of Revenues (Non-GAAP)</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18.7 %</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17.9 %</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18.2 %</w:t>
            </w:r>
          </w:p>
        </w:tc>
        <w:tc>
          <w:tcPr>
            <w:tcW w:w="0" w:type="dxa"/>
            <w:vAlign w:val="bottom"/>
          </w:tcPr>
          <w:p>
            <w:pPr>
              <w:spacing w:after="0"/>
              <w:rPr>
                <w:sz w:val="1"/>
                <w:szCs w:val="1"/>
                <w:color w:val="auto"/>
              </w:rPr>
            </w:pPr>
          </w:p>
        </w:tc>
      </w:tr>
      <w:tr>
        <w:trPr>
          <w:trHeight w:val="213"/>
        </w:trPr>
        <w:tc>
          <w:tcPr>
            <w:tcW w:w="596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add: Depreciation on long-lived assets</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13"/>
              <w:spacing w:after="0"/>
              <w:rPr>
                <w:sz w:val="20"/>
                <w:szCs w:val="20"/>
                <w:color w:val="auto"/>
              </w:rPr>
            </w:pPr>
            <w:r>
              <w:rPr>
                <w:rFonts w:ascii="Arial" w:cs="Arial" w:eastAsia="Arial" w:hAnsi="Arial"/>
                <w:sz w:val="16"/>
                <w:szCs w:val="16"/>
                <w:color w:val="auto"/>
              </w:rPr>
              <w:t>9,929</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13"/>
              <w:spacing w:after="0"/>
              <w:rPr>
                <w:sz w:val="20"/>
                <w:szCs w:val="20"/>
                <w:color w:val="auto"/>
              </w:rPr>
            </w:pPr>
            <w:r>
              <w:rPr>
                <w:rFonts w:ascii="Arial" w:cs="Arial" w:eastAsia="Arial" w:hAnsi="Arial"/>
                <w:sz w:val="16"/>
                <w:szCs w:val="16"/>
                <w:color w:val="auto"/>
              </w:rPr>
              <w:t>8,913</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13"/>
              <w:spacing w:after="0"/>
              <w:rPr>
                <w:sz w:val="20"/>
                <w:szCs w:val="20"/>
                <w:color w:val="auto"/>
              </w:rPr>
            </w:pPr>
            <w:r>
              <w:rPr>
                <w:rFonts w:ascii="Arial" w:cs="Arial" w:eastAsia="Arial" w:hAnsi="Arial"/>
                <w:sz w:val="16"/>
                <w:szCs w:val="16"/>
                <w:color w:val="auto"/>
              </w:rPr>
              <w:t>9,116</w:t>
            </w:r>
          </w:p>
        </w:tc>
        <w:tc>
          <w:tcPr>
            <w:tcW w:w="0" w:type="dxa"/>
            <w:vAlign w:val="bottom"/>
          </w:tcPr>
          <w:p>
            <w:pPr>
              <w:spacing w:after="0"/>
              <w:rPr>
                <w:sz w:val="1"/>
                <w:szCs w:val="1"/>
                <w:color w:val="auto"/>
              </w:rPr>
            </w:pPr>
          </w:p>
        </w:tc>
      </w:tr>
      <w:tr>
        <w:trPr>
          <w:trHeight w:val="251"/>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Adjusted EBITDA (Non-GAAP)</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b w:val="1"/>
                <w:bCs w:val="1"/>
                <w:color w:val="auto"/>
              </w:rPr>
              <w:t>74,713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b w:val="1"/>
                <w:bCs w:val="1"/>
                <w:color w:val="auto"/>
              </w:rPr>
              <w:t>58,210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b w:val="1"/>
                <w:bCs w:val="1"/>
                <w:color w:val="auto"/>
              </w:rPr>
              <w:t>68,935</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i w:val="1"/>
                <w:iCs w:val="1"/>
                <w:color w:val="auto"/>
              </w:rPr>
              <w:t>Adjusted EBITDA margin as a % of revenue (Non-GAAP)</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596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i w:val="1"/>
                <w:iCs w:val="1"/>
                <w:color w:val="auto"/>
              </w:rPr>
              <w:t>21.5 %</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i w:val="1"/>
                <w:iCs w:val="1"/>
                <w:color w:val="auto"/>
              </w:rPr>
              <w:t>21.2 %</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i w:val="1"/>
                <w:iCs w:val="1"/>
                <w:color w:val="auto"/>
              </w:rPr>
              <w:t>20.9 %</w:t>
            </w:r>
          </w:p>
        </w:tc>
        <w:tc>
          <w:tcPr>
            <w:tcW w:w="0" w:type="dxa"/>
            <w:vAlign w:val="bottom"/>
          </w:tcPr>
          <w:p>
            <w:pPr>
              <w:spacing w:after="0"/>
              <w:rPr>
                <w:sz w:val="1"/>
                <w:szCs w:val="1"/>
                <w:color w:val="auto"/>
              </w:rPr>
            </w:pPr>
          </w:p>
        </w:tc>
      </w:tr>
    </w:tbl>
    <w:p>
      <w:pPr>
        <w:spacing w:after="0" w:line="307" w:lineRule="exact"/>
        <w:rPr>
          <w:sz w:val="20"/>
          <w:szCs w:val="20"/>
          <w:color w:val="auto"/>
        </w:rPr>
      </w:pPr>
    </w:p>
    <w:p>
      <w:pPr>
        <w:ind w:left="500" w:hanging="249"/>
        <w:spacing w:after="0" w:line="258" w:lineRule="auto"/>
        <w:tabs>
          <w:tab w:leader="none" w:pos="496"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To exclude certain expenses related to defined social security contribution in India for historical periods of $217 recorded during the three months ended June 30, 2022 and acquisition-related expenses of $134 during the three months ended March 31, 2022.</w:t>
      </w:r>
    </w:p>
    <w:p>
      <w:pPr>
        <w:sectPr>
          <w:pgSz w:w="11900" w:h="16838" w:orient="portrait"/>
          <w:cols w:equalWidth="0" w:num="1">
            <w:col w:w="11240"/>
          </w:cols>
          <w:pgMar w:left="320" w:top="922" w:right="33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Reconciliation of Adjusted Net Income and Adjusted Diluted Earnings Per Share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(Amounts in thousands, except per share data)</w:t>
      </w:r>
    </w:p>
    <w:p>
      <w:pPr>
        <w:spacing w:after="0" w:line="130" w:lineRule="exact"/>
        <w:rPr>
          <w:sz w:val="20"/>
          <w:szCs w:val="20"/>
          <w:color w:val="auto"/>
        </w:rPr>
      </w:pPr>
    </w:p>
    <w:tbl>
      <w:tblPr>
        <w:tblLayout w:type="fixed"/>
        <w:tblInd w:w="280" w:type="dxa"/>
        <w:tblCellMar>
          <w:top w:w="0" w:type="dxa"/>
          <w:left w:w="0" w:type="dxa"/>
          <w:bottom w:w="0" w:type="dxa"/>
          <w:right w:w="0" w:type="dxa"/>
        </w:tblCellMar>
      </w:tblPr>
      <w:tr>
        <w:trPr>
          <w:trHeight w:val="213"/>
        </w:trPr>
        <w:tc>
          <w:tcPr>
            <w:tcW w:w="62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4"/>
          </w:tcPr>
          <w:p>
            <w:pPr>
              <w:ind w:left="100"/>
              <w:spacing w:after="0"/>
              <w:rPr>
                <w:sz w:val="20"/>
                <w:szCs w:val="20"/>
                <w:color w:val="auto"/>
              </w:rPr>
            </w:pPr>
            <w:r>
              <w:rPr>
                <w:rFonts w:ascii="Arial" w:cs="Arial" w:eastAsia="Arial" w:hAnsi="Arial"/>
                <w:sz w:val="16"/>
                <w:szCs w:val="16"/>
                <w:b w:val="1"/>
                <w:bCs w:val="1"/>
                <w:color w:val="auto"/>
                <w:w w:val="95"/>
              </w:rPr>
              <w:t>Three months ended</w:t>
            </w: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ind w:left="840"/>
              <w:spacing w:after="0"/>
              <w:rPr>
                <w:sz w:val="20"/>
                <w:szCs w:val="20"/>
                <w:color w:val="auto"/>
              </w:rPr>
            </w:pPr>
            <w:r>
              <w:rPr>
                <w:rFonts w:ascii="Arial" w:cs="Arial" w:eastAsia="Arial" w:hAnsi="Arial"/>
                <w:sz w:val="16"/>
                <w:szCs w:val="16"/>
                <w:b w:val="1"/>
                <w:bCs w:val="1"/>
                <w:color w:val="auto"/>
              </w:rPr>
              <w:t>June 30,</w:t>
            </w:r>
          </w:p>
        </w:tc>
        <w:tc>
          <w:tcPr>
            <w:tcW w:w="10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51"/>
              <w:spacing w:after="0"/>
              <w:rPr>
                <w:sz w:val="20"/>
                <w:szCs w:val="20"/>
                <w:color w:val="auto"/>
              </w:rPr>
            </w:pPr>
            <w:r>
              <w:rPr>
                <w:rFonts w:ascii="Arial" w:cs="Arial" w:eastAsia="Arial" w:hAnsi="Arial"/>
                <w:sz w:val="16"/>
                <w:szCs w:val="16"/>
                <w:b w:val="1"/>
                <w:bCs w:val="1"/>
                <w:color w:val="auto"/>
              </w:rPr>
              <w:t>March 31,</w:t>
            </w:r>
          </w:p>
        </w:tc>
        <w:tc>
          <w:tcPr>
            <w:tcW w:w="0" w:type="dxa"/>
            <w:vAlign w:val="bottom"/>
          </w:tcPr>
          <w:p>
            <w:pPr>
              <w:spacing w:after="0"/>
              <w:rPr>
                <w:sz w:val="1"/>
                <w:szCs w:val="1"/>
                <w:color w:val="auto"/>
              </w:rPr>
            </w:pPr>
          </w:p>
        </w:tc>
      </w:tr>
      <w:tr>
        <w:trPr>
          <w:trHeight w:val="210"/>
        </w:trPr>
        <w:tc>
          <w:tcPr>
            <w:tcW w:w="62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26"/>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(GAAP)</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35,846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28,021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36,178</w:t>
            </w:r>
          </w:p>
        </w:tc>
        <w:tc>
          <w:tcPr>
            <w:tcW w:w="0" w:type="dxa"/>
            <w:vAlign w:val="bottom"/>
          </w:tcPr>
          <w:p>
            <w:pPr>
              <w:spacing w:after="0"/>
              <w:rPr>
                <w:sz w:val="1"/>
                <w:szCs w:val="1"/>
                <w:color w:val="auto"/>
              </w:rPr>
            </w:pPr>
          </w:p>
        </w:tc>
      </w:tr>
      <w:tr>
        <w:trPr>
          <w:trHeight w:val="230"/>
        </w:trPr>
        <w:tc>
          <w:tcPr>
            <w:tcW w:w="6240" w:type="dxa"/>
            <w:vAlign w:val="bottom"/>
          </w:tcPr>
          <w:p>
            <w:pPr>
              <w:ind w:left="340"/>
              <w:spacing w:after="0"/>
              <w:rPr>
                <w:sz w:val="20"/>
                <w:szCs w:val="20"/>
                <w:color w:val="auto"/>
              </w:rPr>
            </w:pPr>
            <w:r>
              <w:rPr>
                <w:rFonts w:ascii="Arial" w:cs="Arial" w:eastAsia="Arial" w:hAnsi="Arial"/>
                <w:sz w:val="16"/>
                <w:szCs w:val="16"/>
                <w:color w:val="auto"/>
              </w:rPr>
              <w:t>add: Stock-based compensation expense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13,340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10,070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11,224</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add: Amortization of acquisition-related intangibles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4,486</w:t>
            </w:r>
          </w:p>
        </w:tc>
        <w:tc>
          <w:tcPr>
            <w:tcW w:w="0" w:type="dxa"/>
            <w:vAlign w:val="bottom"/>
          </w:tcPr>
          <w:p>
            <w:pPr>
              <w:spacing w:after="0"/>
              <w:rPr>
                <w:sz w:val="1"/>
                <w:szCs w:val="1"/>
                <w:color w:val="auto"/>
              </w:rPr>
            </w:pPr>
          </w:p>
        </w:tc>
      </w:tr>
      <w:tr>
        <w:trPr>
          <w:trHeight w:val="230"/>
        </w:trPr>
        <w:tc>
          <w:tcPr>
            <w:tcW w:w="6240" w:type="dxa"/>
            <w:vAlign w:val="bottom"/>
          </w:tcPr>
          <w:p>
            <w:pPr>
              <w:ind w:left="340"/>
              <w:spacing w:after="0"/>
              <w:rPr>
                <w:sz w:val="20"/>
                <w:szCs w:val="20"/>
                <w:color w:val="auto"/>
              </w:rPr>
            </w:pPr>
            <w:r>
              <w:rPr>
                <w:rFonts w:ascii="Arial" w:cs="Arial" w:eastAsia="Arial" w:hAnsi="Arial"/>
                <w:sz w:val="16"/>
                <w:szCs w:val="16"/>
                <w:color w:val="auto"/>
              </w:rPr>
              <w:t>add: Non-cash interest expense related to convertible senior notes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add: Effects of changes in fair value of contingent consideration (a)</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240" w:type="dxa"/>
            <w:vAlign w:val="bottom"/>
          </w:tcPr>
          <w:p>
            <w:pPr>
              <w:ind w:left="340"/>
              <w:spacing w:after="0"/>
              <w:rPr>
                <w:sz w:val="20"/>
                <w:szCs w:val="20"/>
                <w:color w:val="auto"/>
              </w:rPr>
            </w:pPr>
            <w:r>
              <w:rPr>
                <w:rFonts w:ascii="Arial" w:cs="Arial" w:eastAsia="Arial" w:hAnsi="Arial"/>
                <w:sz w:val="16"/>
                <w:szCs w:val="16"/>
                <w:color w:val="auto"/>
              </w:rPr>
              <w:t>add: Other expenses (b)</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subtract: Tax impact on stock-based compensation expense (c)</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(2,806)</w:t>
            </w:r>
          </w:p>
        </w:tc>
        <w:tc>
          <w:tcPr>
            <w:tcW w:w="0" w:type="dxa"/>
            <w:vAlign w:val="bottom"/>
          </w:tcPr>
          <w:p>
            <w:pPr>
              <w:spacing w:after="0"/>
              <w:rPr>
                <w:sz w:val="1"/>
                <w:szCs w:val="1"/>
                <w:color w:val="auto"/>
              </w:rPr>
            </w:pPr>
          </w:p>
        </w:tc>
      </w:tr>
      <w:tr>
        <w:trPr>
          <w:trHeight w:val="229"/>
        </w:trPr>
        <w:tc>
          <w:tcPr>
            <w:tcW w:w="6240" w:type="dxa"/>
            <w:vAlign w:val="bottom"/>
          </w:tcPr>
          <w:p>
            <w:pPr>
              <w:ind w:left="340"/>
              <w:spacing w:after="0"/>
              <w:rPr>
                <w:sz w:val="20"/>
                <w:szCs w:val="20"/>
                <w:color w:val="auto"/>
              </w:rPr>
            </w:pPr>
            <w:r>
              <w:rPr>
                <w:rFonts w:ascii="Arial" w:cs="Arial" w:eastAsia="Arial" w:hAnsi="Arial"/>
                <w:sz w:val="16"/>
                <w:szCs w:val="16"/>
                <w:color w:val="auto"/>
              </w:rPr>
              <w:t>subtract: Tax impact on amortization of acquisition-related intangibles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(971)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(766)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(1,052)</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340"/>
              <w:spacing w:after="0"/>
              <w:rPr>
                <w:sz w:val="20"/>
                <w:szCs w:val="20"/>
                <w:color w:val="auto"/>
              </w:rPr>
            </w:pPr>
            <w:r>
              <w:rPr>
                <w:rFonts w:ascii="Arial" w:cs="Arial" w:eastAsia="Arial" w:hAnsi="Arial"/>
                <w:sz w:val="16"/>
                <w:szCs w:val="16"/>
                <w:color w:val="auto"/>
                <w:w w:val="97"/>
              </w:rPr>
              <w:t>subtract: Tax impact on non-cash interest expense related to convertible senior notes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240" w:type="dxa"/>
            <w:vAlign w:val="bottom"/>
          </w:tcPr>
          <w:p>
            <w:pPr>
              <w:ind w:left="340"/>
              <w:spacing w:after="0"/>
              <w:rPr>
                <w:sz w:val="20"/>
                <w:szCs w:val="20"/>
                <w:color w:val="auto"/>
              </w:rPr>
            </w:pPr>
            <w:r>
              <w:rPr>
                <w:rFonts w:ascii="Arial" w:cs="Arial" w:eastAsia="Arial" w:hAnsi="Arial"/>
                <w:sz w:val="16"/>
                <w:szCs w:val="16"/>
                <w:color w:val="auto"/>
              </w:rPr>
              <w:t>subtract: Tax impact on other expenses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6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Adjusted net income (Non-GAAP)</w:t>
            </w: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50,633</w:t>
            </w:r>
          </w:p>
        </w:tc>
        <w:tc>
          <w:tcPr>
            <w:tcW w:w="100" w:type="dxa"/>
            <w:vAlign w:val="bottom"/>
            <w:tcBorders>
              <w:top w:val="single" w:sz="8" w:color="CCEEFF"/>
              <w:bottom w:val="single" w:sz="8" w:color="auto"/>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39,174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48,164</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Adjusted diluted earnings per share (Non-GAAP)</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240" w:type="dxa"/>
            <w:vAlign w:val="bottom"/>
            <w:vMerge w:val="continue"/>
          </w:tcPr>
          <w:p>
            <w:pPr>
              <w:spacing w:after="0"/>
              <w:rPr>
                <w:sz w:val="18"/>
                <w:szCs w:val="18"/>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1.50</w:t>
            </w:r>
          </w:p>
        </w:tc>
        <w:tc>
          <w:tcPr>
            <w:tcW w:w="480" w:type="dxa"/>
            <w:vAlign w:val="bottom"/>
            <w:gridSpan w:val="2"/>
          </w:tcPr>
          <w:p>
            <w:pPr>
              <w:ind w:left="12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1.14</w:t>
            </w:r>
          </w:p>
        </w:tc>
        <w:tc>
          <w:tcPr>
            <w:tcW w:w="1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1.42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7" w:lineRule="exact"/>
        <w:rPr>
          <w:sz w:val="20"/>
          <w:szCs w:val="20"/>
          <w:color w:val="auto"/>
        </w:rPr>
      </w:pPr>
    </w:p>
    <w:p>
      <w:pPr>
        <w:ind w:left="480" w:hanging="229"/>
        <w:spacing w:after="0"/>
        <w:tabs>
          <w:tab w:leader="none" w:pos="480" w:val="left"/>
        </w:tabs>
        <w:numPr>
          <w:ilvl w:val="0"/>
          <w:numId w:val="11"/>
        </w:numPr>
        <w:rPr>
          <w:rFonts w:ascii="Arial" w:cs="Arial" w:eastAsia="Arial" w:hAnsi="Arial"/>
          <w:sz w:val="15"/>
          <w:szCs w:val="15"/>
          <w:i w:val="1"/>
          <w:iCs w:val="1"/>
          <w:color w:val="auto"/>
        </w:rPr>
      </w:pPr>
      <w:r>
        <w:rPr>
          <w:rFonts w:ascii="Arial" w:cs="Arial" w:eastAsia="Arial" w:hAnsi="Arial"/>
          <w:sz w:val="15"/>
          <w:szCs w:val="15"/>
          <w:i w:val="1"/>
          <w:iCs w:val="1"/>
          <w:color w:val="auto"/>
        </w:rPr>
        <w:t>To exclude the effects of changes in the fair valuation of contingent consideration for the acquisition of Clairvoyant during the three months ended June 30, 2022.</w:t>
      </w:r>
    </w:p>
    <w:p>
      <w:pPr>
        <w:spacing w:after="0" w:line="111" w:lineRule="exact"/>
        <w:rPr>
          <w:rFonts w:ascii="Arial" w:cs="Arial" w:eastAsia="Arial" w:hAnsi="Arial"/>
          <w:sz w:val="15"/>
          <w:szCs w:val="15"/>
          <w:i w:val="1"/>
          <w:iCs w:val="1"/>
          <w:color w:val="auto"/>
        </w:rPr>
      </w:pPr>
    </w:p>
    <w:p>
      <w:pPr>
        <w:ind w:left="500" w:hanging="249"/>
        <w:spacing w:after="0" w:line="258" w:lineRule="auto"/>
        <w:tabs>
          <w:tab w:leader="none" w:pos="486" w:val="left"/>
        </w:tabs>
        <w:numPr>
          <w:ilvl w:val="0"/>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To exclude certain expenses related to defined social security contribution in India for historical periods of $580 recorded during the three months ended June 30, 2022 and acquisition-related expenses of $134 during the three months ended March 31, 2022.</w:t>
      </w:r>
    </w:p>
    <w:p>
      <w:pPr>
        <w:spacing w:after="0" w:line="76" w:lineRule="exact"/>
        <w:rPr>
          <w:rFonts w:ascii="Arial" w:cs="Arial" w:eastAsia="Arial" w:hAnsi="Arial"/>
          <w:sz w:val="16"/>
          <w:szCs w:val="16"/>
          <w:i w:val="1"/>
          <w:iCs w:val="1"/>
          <w:color w:val="auto"/>
        </w:rPr>
      </w:pPr>
    </w:p>
    <w:p>
      <w:pPr>
        <w:ind w:left="500" w:hanging="249"/>
        <w:spacing w:after="0" w:line="275" w:lineRule="auto"/>
        <w:tabs>
          <w:tab w:leader="none" w:pos="487" w:val="left"/>
        </w:tabs>
        <w:numPr>
          <w:ilvl w:val="0"/>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Tax impact includes $14 and $97 during the three months ended June 30, 2022 and 2021 respectively, and $3,610 during the three months ended March 31, 2022, related to discrete benefits recognized in income tax expense on adoption of ASU No. 2016-09, Compensation - Stock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Contact: Steven N. Barlow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Investor Relations</w:t>
      </w:r>
    </w:p>
    <w:p>
      <w:pPr>
        <w:spacing w:after="0" w:line="9" w:lineRule="exact"/>
        <w:rPr>
          <w:sz w:val="20"/>
          <w:szCs w:val="20"/>
          <w:color w:val="auto"/>
        </w:rPr>
      </w:pPr>
    </w:p>
    <w:p>
      <w:pPr>
        <w:ind w:right="9880" w:firstLine="8"/>
        <w:spacing w:after="0" w:line="323" w:lineRule="auto"/>
        <w:tabs>
          <w:tab w:leader="none" w:pos="435" w:val="left"/>
        </w:tabs>
        <w:numPr>
          <w:ilvl w:val="0"/>
          <w:numId w:val="12"/>
        </w:numPr>
        <w:rPr>
          <w:rFonts w:ascii="Arial" w:cs="Arial" w:eastAsia="Arial" w:hAnsi="Arial"/>
          <w:sz w:val="16"/>
          <w:szCs w:val="16"/>
          <w:color w:val="auto"/>
        </w:rPr>
      </w:pPr>
      <w:r>
        <w:rPr>
          <w:rFonts w:ascii="Arial" w:cs="Arial" w:eastAsia="Arial" w:hAnsi="Arial"/>
          <w:sz w:val="16"/>
          <w:szCs w:val="16"/>
          <w:color w:val="auto"/>
        </w:rPr>
        <w:t xml:space="preserve">596-7684 </w:t>
      </w:r>
      <w:r>
        <w:rPr>
          <w:rFonts w:ascii="Arial" w:cs="Arial" w:eastAsia="Arial" w:hAnsi="Arial"/>
          <w:sz w:val="16"/>
          <w:szCs w:val="16"/>
          <w:u w:val="single" w:color="auto"/>
          <w:color w:val="0000FF"/>
        </w:rPr>
        <w:t>ir@exlservice.com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Media - US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John Roderick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 Roderick Public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631-584-2200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exl@jroderick.com</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Media - Europe, India and APAC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Shailendra Singh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Corporate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+91-98104-76075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shailendra.singh@exlservice.com</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1)"/>
      <w:numFmt w:val="decimal"/>
      <w:start w:val="2"/>
    </w:lvl>
  </w:abstractNum>
  <w:abstractNum w:abstractNumId="8">
    <w:nsid w:val="216231B"/>
    <w:multiLevelType w:val="hybridMultilevel"/>
    <w:lvl w:ilvl="0">
      <w:lvlJc w:val="left"/>
      <w:lvlText w:val="(%1)"/>
      <w:numFmt w:val="lowerRoman"/>
      <w:start w:val="1"/>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decimal"/>
      <w:start w:val="91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2022-07-28T05:19:28Z</dcterms:created>
  <dcterms:modified xsi:type="dcterms:W3CDTF">2022-07-28T05:19:28Z</dcterms:modified>
</cp:coreProperties>
</file>