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Sections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40"/>
        <w:spacing w:after="0"/>
        <w:rPr>
          <w:sz w:val="20"/>
          <w:szCs w:val="20"/>
          <w:color w:val="auto"/>
        </w:rPr>
      </w:pPr>
      <w:r>
        <w:rPr>
          <w:rFonts w:ascii="Arial" w:cs="Arial" w:eastAsia="Arial" w:hAnsi="Arial"/>
          <w:sz w:val="21"/>
          <w:szCs w:val="21"/>
          <w:b w:val="1"/>
          <w:bCs w:val="1"/>
          <w:color w:val="auto"/>
        </w:rPr>
        <w:t>Date of Report (Date of earliest event reported): June 19,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740" w:space="720"/>
            <w:col w:w="2980" w:space="720"/>
            <w:col w:w="1700"/>
          </w:cols>
          <w:pgMar w:left="240" w:top="368" w:right="7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820"/>
          </w:cols>
          <w:pgMar w:left="240" w:top="368" w:right="799" w:bottom="1440" w:gutter="0" w:footer="0" w:header="0"/>
          <w:type w:val="continuous"/>
        </w:sectPr>
      </w:pPr>
    </w:p>
    <w:p>
      <w:pPr>
        <w:spacing w:after="0" w:line="6"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Registrant’s telephone number, including area code: (212) 277-7100</w:t>
      </w: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On June 19, 2015, at the Company’s 2015 Annual Meeting of Stockholders (the “Annual Meeting”), the stockholders of ExlService Holdings, Inc. (the “Company”) approved the 2015 Amendment and Restatement of the 2006 Omnibus Award Plan (the “2015 Plan”), which amended and restated the 2006 Omnibus Award Plan to, among other things, increase the total number of shares reserved for grants of awards under the 2015 Plan by 1.7 million shares, update the minimum performance periods and change in control definitions and expand the types of potential awards available for issuance.</w:t>
      </w:r>
    </w:p>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description in this Item 5.02 is qualified in its entirety by reference to the 2015 Plan filed as Exhibit 10.1 to this Current Report on Form 8-K. For a more complete description of the 2015 Plan, please refer to “Proposal 4: Approval of the 2015 Amendment and Restatement of the 2006 Omnibus Award Plan” in the Company’s proxy statement filed with the Securities and Exchange Commission in connection with the Annual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At the Annual Meeting, held on June 19, 2015, the Company’s stockholders voted on the following items: (1) the election of three Class III members of the board of directors of the Company, (2) the ratification of the selection of Ernst &amp; Young LLP as the independent registered public accounting firm of the Company for fiscal year 2015, (3) the approval of the compensation of the named executive officers of the Company and (4) the approval of the 2015 Plan.</w:t>
      </w:r>
    </w:p>
    <w:p>
      <w:pPr>
        <w:spacing w:after="0" w:line="14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Each of the three nominees for election to the board of directors was duly elected to serve as a director until the annual meeting of stockholders in 2018 or until his or her successor is duly elected and qualified in accordance with the by-laws of the Company. The final results of the voting were as follows: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00" w:type="dxa"/>
            <w:vAlign w:val="bottom"/>
          </w:tcPr>
          <w:p>
            <w:pPr>
              <w:spacing w:after="0"/>
              <w:rPr>
                <w:sz w:val="20"/>
                <w:szCs w:val="20"/>
                <w:color w:val="auto"/>
              </w:rPr>
            </w:pPr>
            <w:r>
              <w:rPr>
                <w:rFonts w:ascii="Arial" w:cs="Arial" w:eastAsia="Arial" w:hAnsi="Arial"/>
                <w:sz w:val="14"/>
                <w:szCs w:val="14"/>
                <w:b w:val="1"/>
                <w:bCs w:val="1"/>
                <w:color w:val="auto"/>
              </w:rPr>
              <w:t>Nominees</w:t>
            </w:r>
          </w:p>
        </w:tc>
        <w:tc>
          <w:tcPr>
            <w:tcW w:w="3160" w:type="dxa"/>
            <w:vAlign w:val="bottom"/>
          </w:tcPr>
          <w:p>
            <w:pPr>
              <w:jc w:val="right"/>
              <w:ind w:right="494"/>
              <w:spacing w:after="0"/>
              <w:rPr>
                <w:sz w:val="20"/>
                <w:szCs w:val="20"/>
                <w:color w:val="auto"/>
              </w:rPr>
            </w:pPr>
            <w:r>
              <w:rPr>
                <w:rFonts w:ascii="Arial" w:cs="Arial" w:eastAsia="Arial" w:hAnsi="Arial"/>
                <w:sz w:val="14"/>
                <w:szCs w:val="14"/>
                <w:b w:val="1"/>
                <w:bCs w:val="1"/>
                <w:color w:val="auto"/>
              </w:rPr>
              <w:t>For</w:t>
            </w:r>
          </w:p>
        </w:tc>
        <w:tc>
          <w:tcPr>
            <w:tcW w:w="1200" w:type="dxa"/>
            <w:vAlign w:val="bottom"/>
          </w:tcPr>
          <w:p>
            <w:pPr>
              <w:jc w:val="right"/>
              <w:ind w:right="234"/>
              <w:spacing w:after="0"/>
              <w:rPr>
                <w:sz w:val="20"/>
                <w:szCs w:val="20"/>
                <w:color w:val="auto"/>
              </w:rPr>
            </w:pPr>
            <w:r>
              <w:rPr>
                <w:rFonts w:ascii="Arial" w:cs="Arial" w:eastAsia="Arial" w:hAnsi="Arial"/>
                <w:sz w:val="14"/>
                <w:szCs w:val="14"/>
                <w:b w:val="1"/>
                <w:bCs w:val="1"/>
                <w:color w:val="auto"/>
              </w:rPr>
              <w:t>Withhold</w:t>
            </w:r>
          </w:p>
        </w:tc>
        <w:tc>
          <w:tcPr>
            <w:tcW w:w="1420" w:type="dxa"/>
            <w:vAlign w:val="bottom"/>
          </w:tcPr>
          <w:p>
            <w:pPr>
              <w:jc w:val="right"/>
              <w:ind w:right="14"/>
              <w:spacing w:after="0"/>
              <w:rPr>
                <w:sz w:val="20"/>
                <w:szCs w:val="20"/>
                <w:color w:val="auto"/>
              </w:rPr>
            </w:pPr>
            <w:r>
              <w:rPr>
                <w:rFonts w:ascii="Arial" w:cs="Arial" w:eastAsia="Arial" w:hAnsi="Arial"/>
                <w:sz w:val="14"/>
                <w:szCs w:val="14"/>
                <w:b w:val="1"/>
                <w:bCs w:val="1"/>
                <w:color w:val="auto"/>
              </w:rPr>
              <w:t>Broker Non-Votes</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Deborah Kerr</w:t>
            </w:r>
          </w:p>
        </w:tc>
        <w:tc>
          <w:tcPr>
            <w:tcW w:w="31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29,854,263</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321,521</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1,973,731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Dr. Mohanbir Sawhney</w:t>
            </w:r>
          </w:p>
        </w:tc>
        <w:tc>
          <w:tcPr>
            <w:tcW w:w="3160" w:type="dxa"/>
            <w:vAlign w:val="bottom"/>
          </w:tcPr>
          <w:p>
            <w:pPr>
              <w:jc w:val="right"/>
              <w:ind w:right="174"/>
              <w:spacing w:after="0"/>
              <w:rPr>
                <w:sz w:val="20"/>
                <w:szCs w:val="20"/>
                <w:color w:val="auto"/>
              </w:rPr>
            </w:pPr>
            <w:r>
              <w:rPr>
                <w:rFonts w:ascii="Arial" w:cs="Arial" w:eastAsia="Arial" w:hAnsi="Arial"/>
                <w:sz w:val="18"/>
                <w:szCs w:val="18"/>
                <w:color w:val="auto"/>
              </w:rPr>
              <w:t>29,773,551</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402,233</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1,973,731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Garen K. Staglin</w:t>
            </w:r>
          </w:p>
        </w:tc>
        <w:tc>
          <w:tcPr>
            <w:tcW w:w="31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27,617,790</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2,557,994</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1,973,731</w:t>
            </w:r>
          </w:p>
        </w:tc>
      </w:tr>
    </w:tbl>
    <w:p>
      <w:pPr>
        <w:spacing w:after="0" w:line="20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proposal to ratify the selection of Ernst &amp; Young LLP as the independent registered public accounting firm of the Company for fiscal year 2015 was approved. The final results of the voting were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8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3540" w:type="dxa"/>
            <w:vAlign w:val="bottom"/>
          </w:tcPr>
          <w:p>
            <w:pPr>
              <w:jc w:val="right"/>
              <w:ind w:right="299"/>
              <w:spacing w:after="0"/>
              <w:rPr>
                <w:sz w:val="20"/>
                <w:szCs w:val="20"/>
                <w:color w:val="auto"/>
              </w:rPr>
            </w:pPr>
            <w:r>
              <w:rPr>
                <w:rFonts w:ascii="Arial" w:cs="Arial" w:eastAsia="Arial" w:hAnsi="Arial"/>
                <w:sz w:val="14"/>
                <w:szCs w:val="14"/>
                <w:b w:val="1"/>
                <w:bCs w:val="1"/>
                <w:color w:val="auto"/>
              </w:rPr>
              <w:t>Against</w:t>
            </w:r>
          </w:p>
        </w:tc>
        <w:tc>
          <w:tcPr>
            <w:tcW w:w="1120" w:type="dxa"/>
            <w:vAlign w:val="bottom"/>
          </w:tcPr>
          <w:p>
            <w:pPr>
              <w:jc w:val="right"/>
              <w:ind w:right="239"/>
              <w:spacing w:after="0"/>
              <w:rPr>
                <w:sz w:val="20"/>
                <w:szCs w:val="20"/>
                <w:color w:val="auto"/>
              </w:rPr>
            </w:pPr>
            <w:r>
              <w:rPr>
                <w:rFonts w:ascii="Arial" w:cs="Arial" w:eastAsia="Arial" w:hAnsi="Arial"/>
                <w:sz w:val="14"/>
                <w:szCs w:val="14"/>
                <w:b w:val="1"/>
                <w:bCs w:val="1"/>
                <w:color w:val="auto"/>
              </w:rPr>
              <w:t>Abstain</w:t>
            </w:r>
          </w:p>
        </w:tc>
        <w:tc>
          <w:tcPr>
            <w:tcW w:w="1440" w:type="dxa"/>
            <w:vAlign w:val="bottom"/>
          </w:tcPr>
          <w:p>
            <w:pPr>
              <w:jc w:val="right"/>
              <w:ind w:right="19"/>
              <w:spacing w:after="0"/>
              <w:rPr>
                <w:sz w:val="20"/>
                <w:szCs w:val="20"/>
                <w:color w:val="auto"/>
              </w:rPr>
            </w:pPr>
            <w:r>
              <w:rPr>
                <w:rFonts w:ascii="Arial" w:cs="Arial" w:eastAsia="Arial" w:hAnsi="Arial"/>
                <w:sz w:val="14"/>
                <w:szCs w:val="14"/>
                <w:b w:val="1"/>
                <w:bCs w:val="1"/>
                <w:color w:val="auto"/>
              </w:rPr>
              <w:t>Broker Non-Vote</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31,945,878</w:t>
            </w:r>
          </w:p>
        </w:tc>
        <w:tc>
          <w:tcPr>
            <w:tcW w:w="35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158,485</w:t>
            </w: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45,152</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proposal to approve the compensation of the named executive officers of the Company was approved. The final results of the voting were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0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3600" w:type="dxa"/>
            <w:vAlign w:val="bottom"/>
          </w:tcPr>
          <w:p>
            <w:pPr>
              <w:jc w:val="right"/>
              <w:ind w:right="239"/>
              <w:spacing w:after="0"/>
              <w:rPr>
                <w:sz w:val="20"/>
                <w:szCs w:val="20"/>
                <w:color w:val="auto"/>
              </w:rPr>
            </w:pPr>
            <w:r>
              <w:rPr>
                <w:rFonts w:ascii="Arial" w:cs="Arial" w:eastAsia="Arial" w:hAnsi="Arial"/>
                <w:sz w:val="14"/>
                <w:szCs w:val="14"/>
                <w:b w:val="1"/>
                <w:bCs w:val="1"/>
                <w:color w:val="auto"/>
              </w:rPr>
              <w:t>Against</w:t>
            </w:r>
          </w:p>
        </w:tc>
        <w:tc>
          <w:tcPr>
            <w:tcW w:w="1000" w:type="dxa"/>
            <w:vAlign w:val="bottom"/>
          </w:tcPr>
          <w:p>
            <w:pPr>
              <w:jc w:val="right"/>
              <w:ind w:right="179"/>
              <w:spacing w:after="0"/>
              <w:rPr>
                <w:sz w:val="20"/>
                <w:szCs w:val="20"/>
                <w:color w:val="auto"/>
              </w:rPr>
            </w:pPr>
            <w:r>
              <w:rPr>
                <w:rFonts w:ascii="Arial" w:cs="Arial" w:eastAsia="Arial" w:hAnsi="Arial"/>
                <w:sz w:val="14"/>
                <w:szCs w:val="14"/>
                <w:b w:val="1"/>
                <w:bCs w:val="1"/>
                <w:color w:val="auto"/>
              </w:rPr>
              <w:t>Abstain</w:t>
            </w:r>
          </w:p>
        </w:tc>
        <w:tc>
          <w:tcPr>
            <w:tcW w:w="1380" w:type="dxa"/>
            <w:vAlign w:val="bottom"/>
          </w:tcPr>
          <w:p>
            <w:pPr>
              <w:jc w:val="right"/>
              <w:ind w:right="19"/>
              <w:spacing w:after="0"/>
              <w:rPr>
                <w:sz w:val="20"/>
                <w:szCs w:val="20"/>
                <w:color w:val="auto"/>
              </w:rPr>
            </w:pPr>
            <w:r>
              <w:rPr>
                <w:rFonts w:ascii="Arial" w:cs="Arial" w:eastAsia="Arial" w:hAnsi="Arial"/>
                <w:sz w:val="14"/>
                <w:szCs w:val="14"/>
                <w:b w:val="1"/>
                <w:bCs w:val="1"/>
                <w:color w:val="auto"/>
              </w:rPr>
              <w:t>Broker Non-Vote</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29,624,982</w:t>
            </w:r>
          </w:p>
        </w:tc>
        <w:tc>
          <w:tcPr>
            <w:tcW w:w="36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505,209</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45,593</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1,973,731</w:t>
            </w:r>
          </w:p>
        </w:tc>
      </w:tr>
    </w:tbl>
    <w:p>
      <w:pPr>
        <w:sectPr>
          <w:pgSz w:w="11900" w:h="16838" w:orient="portrait"/>
          <w:cols w:equalWidth="0" w:num="1">
            <w:col w:w="11400"/>
          </w:cols>
          <w:pgMar w:left="240" w:top="270" w:right="25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proposal to approve the 2015 Plan was approved. The final results of the voting were as follows:</w:t>
      </w:r>
    </w:p>
    <w:p>
      <w:pPr>
        <w:spacing w:after="0" w:line="244" w:lineRule="exact"/>
        <w:rPr>
          <w:sz w:val="20"/>
          <w:szCs w:val="20"/>
          <w:color w:val="auto"/>
        </w:rPr>
      </w:pPr>
    </w:p>
    <w:tbl>
      <w:tblPr>
        <w:tblLayout w:type="fixed"/>
        <w:tblInd w:w="2060" w:type="dxa"/>
        <w:tblCellMar>
          <w:top w:w="0" w:type="dxa"/>
          <w:left w:w="0" w:type="dxa"/>
          <w:bottom w:w="0" w:type="dxa"/>
          <w:right w:w="0" w:type="dxa"/>
        </w:tblCellMar>
      </w:tblPr>
      <w:tr>
        <w:trPr>
          <w:trHeight w:val="17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For</w:t>
            </w:r>
          </w:p>
        </w:tc>
        <w:tc>
          <w:tcPr>
            <w:tcW w:w="2100" w:type="dxa"/>
            <w:vAlign w:val="bottom"/>
          </w:tcPr>
          <w:p>
            <w:pPr>
              <w:jc w:val="right"/>
              <w:ind w:right="779"/>
              <w:spacing w:after="0"/>
              <w:rPr>
                <w:sz w:val="20"/>
                <w:szCs w:val="20"/>
                <w:color w:val="auto"/>
              </w:rPr>
            </w:pPr>
            <w:r>
              <w:rPr>
                <w:rFonts w:ascii="Arial" w:cs="Arial" w:eastAsia="Arial" w:hAnsi="Arial"/>
                <w:sz w:val="14"/>
                <w:szCs w:val="14"/>
                <w:b w:val="1"/>
                <w:bCs w:val="1"/>
                <w:color w:val="auto"/>
              </w:rPr>
              <w:t>Against</w:t>
            </w:r>
          </w:p>
        </w:tc>
        <w:tc>
          <w:tcPr>
            <w:tcW w:w="1900" w:type="dxa"/>
            <w:vAlign w:val="bottom"/>
          </w:tcPr>
          <w:p>
            <w:pPr>
              <w:jc w:val="right"/>
              <w:ind w:right="639"/>
              <w:spacing w:after="0"/>
              <w:rPr>
                <w:sz w:val="20"/>
                <w:szCs w:val="20"/>
                <w:color w:val="auto"/>
              </w:rPr>
            </w:pPr>
            <w:r>
              <w:rPr>
                <w:rFonts w:ascii="Arial" w:cs="Arial" w:eastAsia="Arial" w:hAnsi="Arial"/>
                <w:sz w:val="14"/>
                <w:szCs w:val="14"/>
                <w:b w:val="1"/>
                <w:bCs w:val="1"/>
                <w:color w:val="auto"/>
              </w:rPr>
              <w:t>Abstain</w:t>
            </w:r>
          </w:p>
        </w:tc>
        <w:tc>
          <w:tcPr>
            <w:tcW w:w="1820" w:type="dxa"/>
            <w:vAlign w:val="bottom"/>
          </w:tcPr>
          <w:p>
            <w:pPr>
              <w:jc w:val="right"/>
              <w:ind w:right="19"/>
              <w:spacing w:after="0"/>
              <w:rPr>
                <w:sz w:val="20"/>
                <w:szCs w:val="20"/>
                <w:color w:val="auto"/>
              </w:rPr>
            </w:pPr>
            <w:r>
              <w:rPr>
                <w:rFonts w:ascii="Arial" w:cs="Arial" w:eastAsia="Arial" w:hAnsi="Arial"/>
                <w:sz w:val="14"/>
                <w:szCs w:val="14"/>
                <w:b w:val="1"/>
                <w:bCs w:val="1"/>
                <w:color w:val="auto"/>
              </w:rPr>
              <w:t>Broker Non-Vote</w:t>
            </w: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26,863,048</w:t>
            </w:r>
          </w:p>
        </w:tc>
        <w:tc>
          <w:tcPr>
            <w:tcW w:w="21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3,265,182</w:t>
            </w:r>
          </w:p>
        </w:tc>
        <w:tc>
          <w:tcPr>
            <w:tcW w:w="19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47,554</w:t>
            </w: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1,973,731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herewith:</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00" w:type="dxa"/>
            <w:vAlign w:val="bottom"/>
            <w:gridSpan w:val="2"/>
          </w:tcPr>
          <w:p>
            <w:pPr>
              <w:spacing w:after="0"/>
              <w:rPr>
                <w:sz w:val="20"/>
                <w:szCs w:val="20"/>
                <w:color w:val="auto"/>
              </w:rPr>
            </w:pPr>
            <w:r>
              <w:rPr>
                <w:rFonts w:ascii="Arial" w:cs="Arial" w:eastAsia="Arial" w:hAnsi="Arial"/>
                <w:sz w:val="14"/>
                <w:szCs w:val="14"/>
                <w:color w:val="auto"/>
              </w:rPr>
              <w:t>Exhibit Number</w:t>
            </w:r>
          </w:p>
        </w:tc>
        <w:tc>
          <w:tcPr>
            <w:tcW w:w="6400" w:type="dxa"/>
            <w:vAlign w:val="bottom"/>
            <w:gridSpan w:val="2"/>
          </w:tcPr>
          <w:p>
            <w:pPr>
              <w:ind w:left="2240"/>
              <w:spacing w:after="0"/>
              <w:rPr>
                <w:sz w:val="20"/>
                <w:szCs w:val="20"/>
                <w:color w:val="auto"/>
              </w:rPr>
            </w:pPr>
            <w:r>
              <w:rPr>
                <w:rFonts w:ascii="Arial" w:cs="Arial" w:eastAsia="Arial" w:hAnsi="Arial"/>
                <w:sz w:val="14"/>
                <w:szCs w:val="14"/>
                <w:color w:val="auto"/>
              </w:rPr>
              <w:t>Exhibit Description</w:t>
            </w:r>
          </w:p>
        </w:tc>
        <w:tc>
          <w:tcPr>
            <w:tcW w:w="2340" w:type="dxa"/>
            <w:vAlign w:val="bottom"/>
            <w:gridSpan w:val="2"/>
          </w:tcPr>
          <w:p>
            <w:pPr>
              <w:spacing w:after="0"/>
              <w:rPr>
                <w:sz w:val="20"/>
                <w:szCs w:val="20"/>
                <w:color w:val="auto"/>
              </w:rPr>
            </w:pPr>
            <w:r>
              <w:rPr>
                <w:rFonts w:ascii="Arial" w:cs="Arial" w:eastAsia="Arial" w:hAnsi="Arial"/>
                <w:sz w:val="14"/>
                <w:szCs w:val="14"/>
                <w:color w:val="auto"/>
              </w:rPr>
              <w:t>Incorporated by Reference</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Filed Herewith</w:t>
            </w:r>
          </w:p>
        </w:tc>
      </w:tr>
      <w:tr>
        <w:trPr>
          <w:trHeight w:val="189"/>
        </w:trPr>
        <w:tc>
          <w:tcPr>
            <w:tcW w:w="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10.1</w:t>
            </w:r>
          </w:p>
        </w:tc>
        <w:tc>
          <w:tcPr>
            <w:tcW w:w="880" w:type="dxa"/>
            <w:vAlign w:val="bottom"/>
          </w:tcPr>
          <w:p>
            <w:pPr>
              <w:spacing w:after="0"/>
              <w:rPr>
                <w:sz w:val="16"/>
                <w:szCs w:val="16"/>
                <w:color w:val="auto"/>
              </w:rPr>
            </w:pPr>
          </w:p>
        </w:tc>
        <w:tc>
          <w:tcPr>
            <w:tcW w:w="56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ExlService Holdings, Inc.</w:t>
            </w:r>
          </w:p>
        </w:tc>
        <w:tc>
          <w:tcPr>
            <w:tcW w:w="80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2015 Amendment and Restatement of the 2006 Omnibus Award Plan</w:t>
            </w:r>
          </w:p>
        </w:tc>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7780" w:type="dxa"/>
            <w:vAlign w:val="bottom"/>
            <w:gridSpan w:val="2"/>
          </w:tcPr>
          <w:p>
            <w:pPr>
              <w:ind w:left="218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640" w:type="dxa"/>
            <w:vAlign w:val="bottom"/>
          </w:tcPr>
          <w:p>
            <w:pPr>
              <w:spacing w:after="0"/>
              <w:rPr>
                <w:sz w:val="20"/>
                <w:szCs w:val="20"/>
                <w:color w:val="auto"/>
              </w:rPr>
            </w:pPr>
          </w:p>
        </w:tc>
        <w:tc>
          <w:tcPr>
            <w:tcW w:w="7780" w:type="dxa"/>
            <w:vAlign w:val="bottom"/>
            <w:gridSpan w:val="2"/>
          </w:tcPr>
          <w:p>
            <w:pPr>
              <w:ind w:left="2620"/>
              <w:spacing w:after="0"/>
              <w:rPr>
                <w:sz w:val="20"/>
                <w:szCs w:val="20"/>
                <w:color w:val="auto"/>
              </w:rPr>
            </w:pPr>
            <w:r>
              <w:rPr>
                <w:rFonts w:ascii="Arial" w:cs="Arial" w:eastAsia="Arial" w:hAnsi="Arial"/>
                <w:sz w:val="18"/>
                <w:szCs w:val="18"/>
                <w:color w:val="auto"/>
              </w:rPr>
              <w:t>(Registrant)</w:t>
            </w: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Date: June 25, 2015</w:t>
            </w:r>
          </w:p>
        </w:tc>
        <w:tc>
          <w:tcPr>
            <w:tcW w:w="2660" w:type="dxa"/>
            <w:vAlign w:val="bottom"/>
          </w:tcPr>
          <w:p>
            <w:pPr>
              <w:ind w:left="21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Nancy Saltzman</w:t>
            </w:r>
          </w:p>
        </w:tc>
      </w:tr>
      <w:tr>
        <w:trPr>
          <w:trHeight w:val="195"/>
        </w:trPr>
        <w:tc>
          <w:tcPr>
            <w:tcW w:w="3640" w:type="dxa"/>
            <w:vAlign w:val="bottom"/>
          </w:tcPr>
          <w:p>
            <w:pPr>
              <w:spacing w:after="0"/>
              <w:rPr>
                <w:sz w:val="16"/>
                <w:szCs w:val="16"/>
                <w:color w:val="auto"/>
              </w:rPr>
            </w:pPr>
          </w:p>
        </w:tc>
        <w:tc>
          <w:tcPr>
            <w:tcW w:w="2660" w:type="dxa"/>
            <w:vAlign w:val="bottom"/>
          </w:tcPr>
          <w:p>
            <w:pPr>
              <w:ind w:left="218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Nancy Saltzman</w:t>
            </w:r>
          </w:p>
        </w:tc>
      </w:tr>
      <w:tr>
        <w:trPr>
          <w:trHeight w:val="230"/>
        </w:trPr>
        <w:tc>
          <w:tcPr>
            <w:tcW w:w="3640" w:type="dxa"/>
            <w:vAlign w:val="bottom"/>
          </w:tcPr>
          <w:p>
            <w:pPr>
              <w:spacing w:after="0"/>
              <w:rPr>
                <w:sz w:val="20"/>
                <w:szCs w:val="20"/>
                <w:color w:val="auto"/>
              </w:rPr>
            </w:pPr>
          </w:p>
        </w:tc>
        <w:tc>
          <w:tcPr>
            <w:tcW w:w="2660" w:type="dxa"/>
            <w:vAlign w:val="bottom"/>
          </w:tcPr>
          <w:p>
            <w:pPr>
              <w:ind w:left="218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420"/>
          </w:cols>
          <w:pgMar w:left="240" w:top="2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0" w:type="dxa"/>
            <w:vAlign w:val="bottom"/>
          </w:tcPr>
          <w:p>
            <w:pPr>
              <w:spacing w:after="0"/>
              <w:rPr>
                <w:sz w:val="20"/>
                <w:szCs w:val="20"/>
                <w:color w:val="auto"/>
              </w:rPr>
            </w:pPr>
            <w:r>
              <w:rPr>
                <w:rFonts w:ascii="Arial" w:cs="Arial" w:eastAsia="Arial" w:hAnsi="Arial"/>
                <w:sz w:val="14"/>
                <w:szCs w:val="14"/>
                <w:color w:val="auto"/>
                <w:w w:val="96"/>
              </w:rPr>
              <w:t>Exhibit Number</w:t>
            </w:r>
          </w:p>
        </w:tc>
        <w:tc>
          <w:tcPr>
            <w:tcW w:w="860" w:type="dxa"/>
            <w:vAlign w:val="bottom"/>
          </w:tcPr>
          <w:p>
            <w:pPr>
              <w:spacing w:after="0"/>
              <w:rPr>
                <w:sz w:val="14"/>
                <w:szCs w:val="14"/>
                <w:color w:val="auto"/>
              </w:rPr>
            </w:pPr>
          </w:p>
        </w:tc>
        <w:tc>
          <w:tcPr>
            <w:tcW w:w="6400" w:type="dxa"/>
            <w:vAlign w:val="bottom"/>
            <w:gridSpan w:val="2"/>
          </w:tcPr>
          <w:p>
            <w:pPr>
              <w:spacing w:after="0"/>
              <w:rPr>
                <w:sz w:val="20"/>
                <w:szCs w:val="20"/>
                <w:color w:val="auto"/>
              </w:rPr>
            </w:pPr>
            <w:r>
              <w:rPr>
                <w:rFonts w:ascii="Arial" w:cs="Arial" w:eastAsia="Arial" w:hAnsi="Arial"/>
                <w:sz w:val="14"/>
                <w:szCs w:val="14"/>
                <w:color w:val="auto"/>
              </w:rPr>
              <w:t>Exhibit Description</w:t>
            </w:r>
          </w:p>
        </w:tc>
        <w:tc>
          <w:tcPr>
            <w:tcW w:w="2340" w:type="dxa"/>
            <w:vAlign w:val="bottom"/>
            <w:gridSpan w:val="2"/>
          </w:tcPr>
          <w:p>
            <w:pPr>
              <w:spacing w:after="0"/>
              <w:rPr>
                <w:sz w:val="20"/>
                <w:szCs w:val="20"/>
                <w:color w:val="auto"/>
              </w:rPr>
            </w:pPr>
            <w:r>
              <w:rPr>
                <w:rFonts w:ascii="Arial" w:cs="Arial" w:eastAsia="Arial" w:hAnsi="Arial"/>
                <w:sz w:val="14"/>
                <w:szCs w:val="14"/>
                <w:color w:val="auto"/>
              </w:rPr>
              <w:t>Incorporated by Reference</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Filed Herewith</w:t>
            </w:r>
          </w:p>
        </w:tc>
      </w:tr>
      <w:tr>
        <w:trPr>
          <w:trHeight w:val="20"/>
        </w:trPr>
        <w:tc>
          <w:tcPr>
            <w:tcW w:w="9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9"/>
        </w:trPr>
        <w:tc>
          <w:tcPr>
            <w:tcW w:w="940" w:type="dxa"/>
            <w:vAlign w:val="bottom"/>
          </w:tcPr>
          <w:p>
            <w:pPr>
              <w:spacing w:after="0" w:line="189" w:lineRule="exact"/>
              <w:rPr>
                <w:sz w:val="20"/>
                <w:szCs w:val="20"/>
                <w:color w:val="auto"/>
              </w:rPr>
            </w:pPr>
            <w:r>
              <w:rPr>
                <w:rFonts w:ascii="Arial" w:cs="Arial" w:eastAsia="Arial" w:hAnsi="Arial"/>
                <w:sz w:val="18"/>
                <w:szCs w:val="18"/>
                <w:color w:val="auto"/>
              </w:rPr>
              <w:t>10.1</w:t>
            </w:r>
          </w:p>
        </w:tc>
        <w:tc>
          <w:tcPr>
            <w:tcW w:w="860" w:type="dxa"/>
            <w:vAlign w:val="bottom"/>
          </w:tcPr>
          <w:p>
            <w:pPr>
              <w:spacing w:after="0"/>
              <w:rPr>
                <w:sz w:val="16"/>
                <w:szCs w:val="16"/>
                <w:color w:val="auto"/>
              </w:rPr>
            </w:pPr>
          </w:p>
        </w:tc>
        <w:tc>
          <w:tcPr>
            <w:tcW w:w="6400" w:type="dxa"/>
            <w:vAlign w:val="bottom"/>
            <w:gridSpan w:val="2"/>
          </w:tcPr>
          <w:p>
            <w:pPr>
              <w:spacing w:after="0" w:line="189" w:lineRule="exact"/>
              <w:rPr>
                <w:sz w:val="20"/>
                <w:szCs w:val="20"/>
                <w:color w:val="auto"/>
              </w:rPr>
            </w:pPr>
            <w:r>
              <w:rPr>
                <w:rFonts w:ascii="Arial" w:cs="Arial" w:eastAsia="Arial" w:hAnsi="Arial"/>
                <w:sz w:val="18"/>
                <w:szCs w:val="18"/>
                <w:color w:val="auto"/>
              </w:rPr>
              <w:t>ExlService Holdings, Inc.</w:t>
            </w:r>
          </w:p>
        </w:tc>
        <w:tc>
          <w:tcPr>
            <w:tcW w:w="1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r>
      <w:tr>
        <w:trPr>
          <w:trHeight w:val="216"/>
        </w:trPr>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2015 Amendment and Restatement</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of the 2006 Omnibus Award Plan</w:t>
            </w:r>
          </w:p>
        </w:tc>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AMENDMENT AND RESTATEMENT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OMNIBUS AWARD PLAN</w:t>
      </w:r>
    </w:p>
    <w:p>
      <w:pPr>
        <w:spacing w:after="0" w:line="23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purpose of the Plan is to provide a means through which the Company and its Affiliates may attract able persons to enter and remain in the employ of the Company and its Affiliates and to provide a means whereby employees, directors and consultants of the Company and its Affiliates can acquire and maintain Common Stock ownership, or be paid incentive compensation measured by reference to the value of Common Stock, thereby strengthening their commitment to the welfare of the Company and its Affiliates and promoting an identity of interest between stockholders and these persons.</w:t>
      </w:r>
    </w:p>
    <w:p>
      <w:pPr>
        <w:spacing w:after="0" w:line="154"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This Plan document is an omnibus document which includes, in addition to the Plan, separate sub-plans (“Sub Plans”) that permit offerings of grants to employees of certain Designated Foreign Subsidiaries. Offerings under the Sub Plans may be made in particular locations outside the United States of America and shall comply with local laws applicable to offerings in such foreign jurisdictions. The Plan shall be a separate and independent plan from the Sub Plans, but the total number of shares of Stock authorized to be issued under the Plan applies in the aggregate to both the Plan and the Sub Plans.</w:t>
      </w:r>
    </w:p>
    <w:p>
      <w:pPr>
        <w:spacing w:after="0" w:line="154"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So that the appropriate incentive can be provided, the Plan provides for granting Incentive Stock Options, Nonqualified Stock Options, Stock Appreciation Rights, Restricted Stock, Restricted Stock Units, Phantom Stock Awards, Stock Bonuses and Performance Compensation Awards, or any combination or variation of the foregoing.</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Plan is an amendment and restatement of the ExlService Holdings, Inc. 2006 Omnibus Award Plan (the “Original Plan”) and is effective upon the date approved by the Company’s stockholders and the terms of the Plan shall apply to all Awards granted on or after the Plan’s effectiveness. For purposes of clarity, the terms of the Original Plan shall continue to govern all awards granted under the Original Plan.</w:t>
      </w:r>
    </w:p>
    <w:p>
      <w:pPr>
        <w:spacing w:after="0" w:line="32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definitions shall be applicable throughout the Plan.</w:t>
      </w:r>
    </w:p>
    <w:p>
      <w:pPr>
        <w:spacing w:after="0" w:line="117" w:lineRule="exact"/>
        <w:rPr>
          <w:rFonts w:ascii="Arial" w:cs="Arial" w:eastAsia="Arial" w:hAnsi="Arial"/>
          <w:sz w:val="18"/>
          <w:szCs w:val="18"/>
          <w:color w:val="auto"/>
        </w:rPr>
      </w:pPr>
    </w:p>
    <w:p>
      <w:pPr>
        <w:ind w:right="360" w:firstLine="464"/>
        <w:spacing w:after="0" w:line="277" w:lineRule="auto"/>
        <w:tabs>
          <w:tab w:leader="none" w:pos="701" w:val="left"/>
        </w:tabs>
        <w:numPr>
          <w:ilvl w:val="1"/>
          <w:numId w:val="3"/>
        </w:numPr>
        <w:rPr>
          <w:rFonts w:ascii="Arial" w:cs="Arial" w:eastAsia="Arial" w:hAnsi="Arial"/>
          <w:sz w:val="18"/>
          <w:szCs w:val="18"/>
          <w:color w:val="auto"/>
        </w:rPr>
      </w:pPr>
      <w:r>
        <w:rPr>
          <w:rFonts w:ascii="Arial" w:cs="Arial" w:eastAsia="Arial" w:hAnsi="Arial"/>
          <w:sz w:val="18"/>
          <w:szCs w:val="18"/>
          <w:color w:val="auto"/>
        </w:rPr>
        <w:t>“Affiliate” means (i) any entity that directly or indirectly is controlled by, controls or is under common control with the Company and (ii) to the extent provided by the Committee, any entity in which the Company has a significant equity interest.</w:t>
      </w:r>
    </w:p>
    <w:p>
      <w:pPr>
        <w:spacing w:after="0" w:line="62" w:lineRule="exact"/>
        <w:rPr>
          <w:rFonts w:ascii="Arial" w:cs="Arial" w:eastAsia="Arial" w:hAnsi="Arial"/>
          <w:sz w:val="18"/>
          <w:szCs w:val="18"/>
          <w:color w:val="auto"/>
        </w:rPr>
      </w:pPr>
    </w:p>
    <w:p>
      <w:pPr>
        <w:ind w:right="180" w:firstLine="464"/>
        <w:spacing w:after="0" w:line="277" w:lineRule="auto"/>
        <w:tabs>
          <w:tab w:leader="none" w:pos="711" w:val="left"/>
        </w:tabs>
        <w:numPr>
          <w:ilvl w:val="1"/>
          <w:numId w:val="3"/>
        </w:numPr>
        <w:rPr>
          <w:rFonts w:ascii="Arial" w:cs="Arial" w:eastAsia="Arial" w:hAnsi="Arial"/>
          <w:sz w:val="18"/>
          <w:szCs w:val="18"/>
          <w:color w:val="auto"/>
        </w:rPr>
      </w:pPr>
      <w:r>
        <w:rPr>
          <w:rFonts w:ascii="Arial" w:cs="Arial" w:eastAsia="Arial" w:hAnsi="Arial"/>
          <w:sz w:val="18"/>
          <w:szCs w:val="18"/>
          <w:color w:val="auto"/>
        </w:rPr>
        <w:t>“Award” means, individually or collectively, any Incentive Stock Option, Nonqualified Stock Option, Stock Appreciation Right, Restricted Stock, Restricted Stock Unit, Phantom Stock Award, Stock Bonus or Performance Compensation Award granted under the Plan.</w:t>
      </w:r>
    </w:p>
    <w:p>
      <w:pPr>
        <w:sectPr>
          <w:pgSz w:w="11900" w:h="16838" w:orient="portrait"/>
          <w:cols w:equalWidth="0" w:num="1">
            <w:col w:w="11420"/>
          </w:cols>
          <w:pgMar w:left="240" w:top="125" w:right="239" w:bottom="1440" w:gutter="0" w:footer="0" w:header="0"/>
        </w:sectPr>
      </w:pPr>
    </w:p>
    <w:bookmarkStart w:id="6" w:name="page7"/>
    <w:bookmarkEnd w:id="6"/>
    <w:p>
      <w:pPr>
        <w:ind w:left="692" w:hanging="236"/>
        <w:spacing w:after="0"/>
        <w:tabs>
          <w:tab w:leader="none" w:pos="692" w:val="left"/>
        </w:tabs>
        <w:numPr>
          <w:ilvl w:val="1"/>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Agreement” means an agreement pursuant to which an Award is granted.</w:t>
      </w:r>
    </w:p>
    <w:p>
      <w:pPr>
        <w:spacing w:after="0" w:line="117" w:lineRule="exact"/>
        <w:rPr>
          <w:rFonts w:ascii="Arial" w:cs="Arial" w:eastAsia="Arial" w:hAnsi="Arial"/>
          <w:sz w:val="18"/>
          <w:szCs w:val="18"/>
          <w:color w:val="auto"/>
        </w:rPr>
      </w:pPr>
    </w:p>
    <w:p>
      <w:pPr>
        <w:ind w:left="712" w:hanging="256"/>
        <w:spacing w:after="0"/>
        <w:tabs>
          <w:tab w:leader="none" w:pos="712" w:val="left"/>
        </w:tabs>
        <w:numPr>
          <w:ilvl w:val="1"/>
          <w:numId w:val="4"/>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17" w:lineRule="exact"/>
        <w:rPr>
          <w:rFonts w:ascii="Arial" w:cs="Arial" w:eastAsia="Arial" w:hAnsi="Arial"/>
          <w:sz w:val="18"/>
          <w:szCs w:val="18"/>
          <w:color w:val="auto"/>
        </w:rPr>
      </w:pPr>
    </w:p>
    <w:p>
      <w:pPr>
        <w:ind w:left="-8" w:firstLine="464"/>
        <w:spacing w:after="0" w:line="288" w:lineRule="auto"/>
        <w:tabs>
          <w:tab w:leader="none" w:pos="693" w:val="left"/>
        </w:tabs>
        <w:numPr>
          <w:ilvl w:val="1"/>
          <w:numId w:val="4"/>
        </w:numPr>
        <w:rPr>
          <w:rFonts w:ascii="Arial" w:cs="Arial" w:eastAsia="Arial" w:hAnsi="Arial"/>
          <w:sz w:val="16"/>
          <w:szCs w:val="16"/>
          <w:color w:val="auto"/>
        </w:rPr>
      </w:pPr>
      <w:r>
        <w:rPr>
          <w:rFonts w:ascii="Arial" w:cs="Arial" w:eastAsia="Arial" w:hAnsi="Arial"/>
          <w:sz w:val="16"/>
          <w:szCs w:val="16"/>
          <w:color w:val="auto"/>
        </w:rPr>
        <w:t>“Cause” shall mean, unless in the case of a particular Award the applicable Award Agreement states otherwise, the Company or an Affiliate having “cause” to terminate a Participant’s employment or service, as defined in any existing employment, consulting or any other agreement between the Participant and the Company or an Affiliate in effect at the time of such termination or, in the absence of such an employment, consulting or other agreement, upon</w:t>
      </w:r>
    </w:p>
    <w:p>
      <w:pPr>
        <w:ind w:left="-8" w:firstLine="8"/>
        <w:spacing w:after="0" w:line="268" w:lineRule="auto"/>
        <w:tabs>
          <w:tab w:leader="none" w:pos="20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good faith determination by the Committee that the Participant has ceased to perform his duties to the Company or an Affiliate (other than as a result of his incapacity due to physical or mental illness or injury), which failure amounts to an intentional and extended neglect of his duties to such party, provided that no such failure shall constitute Cause unless the Participant has been given notice of such failure (if cure is reasonably possible) and has not cured such act or omission within 15 days following receipt of such notice, (ii) the Committee’s good faith determination that the Participant has engaged or is about to engage in conduct materially injurious to the Company or an Affiliate, (iii) the Participant having been convicted of, or plead guilty or no contest to, a felony or any crime involving as a material element fraud or dishonesty, (iv) the consistent failure of the Participant to follow the lawful instructions of the Board or his direct superiors, which failure amounts to an intentional and extended neglect of his duties to such party, or (v) in the case of a Participant who is a non-employee director, the Participant ceasing to be a member of the Board in connection with the Participant engaging in any of the activities described in clauses (i) through (iv) above.</w:t>
      </w:r>
    </w:p>
    <w:p>
      <w:pPr>
        <w:spacing w:after="0" w:line="73" w:lineRule="exact"/>
        <w:rPr>
          <w:rFonts w:ascii="Arial" w:cs="Arial" w:eastAsia="Arial" w:hAnsi="Arial"/>
          <w:sz w:val="17"/>
          <w:szCs w:val="17"/>
          <w:color w:val="auto"/>
        </w:rPr>
      </w:pPr>
    </w:p>
    <w:p>
      <w:pPr>
        <w:ind w:left="-8" w:right="700" w:firstLine="464"/>
        <w:spacing w:after="0" w:line="277" w:lineRule="auto"/>
        <w:tabs>
          <w:tab w:leader="none" w:pos="673" w:val="left"/>
        </w:tabs>
        <w:numPr>
          <w:ilvl w:val="1"/>
          <w:numId w:val="5"/>
        </w:numPr>
        <w:rPr>
          <w:rFonts w:ascii="Arial" w:cs="Arial" w:eastAsia="Arial" w:hAnsi="Arial"/>
          <w:sz w:val="18"/>
          <w:szCs w:val="18"/>
          <w:color w:val="auto"/>
        </w:rPr>
      </w:pPr>
      <w:r>
        <w:rPr>
          <w:rFonts w:ascii="Arial" w:cs="Arial" w:eastAsia="Arial" w:hAnsi="Arial"/>
          <w:sz w:val="18"/>
          <w:szCs w:val="18"/>
          <w:color w:val="auto"/>
        </w:rPr>
        <w:t>“Change in Control” shall, unless in the case of a particular Award the applicable Award Agreement states otherwise or contains a different definition of “Change in Control,” be deemed to occur upon:</w:t>
      </w:r>
    </w:p>
    <w:p>
      <w:pPr>
        <w:spacing w:after="0" w:line="62" w:lineRule="exact"/>
        <w:rPr>
          <w:rFonts w:ascii="Arial" w:cs="Arial" w:eastAsia="Arial" w:hAnsi="Arial"/>
          <w:sz w:val="18"/>
          <w:szCs w:val="18"/>
          <w:color w:val="auto"/>
        </w:rPr>
      </w:pPr>
    </w:p>
    <w:p>
      <w:pPr>
        <w:ind w:left="-8" w:right="180" w:firstLine="921"/>
        <w:spacing w:after="0" w:line="271" w:lineRule="auto"/>
        <w:tabs>
          <w:tab w:leader="none" w:pos="1120" w:val="left"/>
        </w:tabs>
        <w:numPr>
          <w:ilvl w:val="2"/>
          <w:numId w:val="5"/>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w:t>
      </w:r>
      <w:r>
        <w:rPr>
          <w:rFonts w:ascii="Arial" w:cs="Arial" w:eastAsia="Arial" w:hAnsi="Arial"/>
          <w:sz w:val="17"/>
          <w:szCs w:val="17"/>
          <w:u w:val="single" w:color="auto"/>
          <w:color w:val="auto"/>
        </w:rPr>
        <w:t>Person</w:t>
      </w:r>
      <w:r>
        <w:rPr>
          <w:rFonts w:ascii="Arial" w:cs="Arial" w:eastAsia="Arial" w:hAnsi="Arial"/>
          <w:sz w:val="17"/>
          <w:szCs w:val="17"/>
          <w:color w:val="auto"/>
        </w:rPr>
        <w:t>”) of beneficial ownership (within the meaning of Rule 13d-3 promulgated under the Exchange Act) of more than 50% (on a fully diluted basis) of either (A)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17"/>
          <w:szCs w:val="17"/>
          <w:u w:val="single" w:color="auto"/>
          <w:color w:val="auto"/>
        </w:rPr>
        <w:t>Outstanding Company Common Stock</w:t>
      </w:r>
      <w:r>
        <w:rPr>
          <w:rFonts w:ascii="Arial" w:cs="Arial" w:eastAsia="Arial" w:hAnsi="Arial"/>
          <w:sz w:val="17"/>
          <w:szCs w:val="17"/>
          <w:color w:val="auto"/>
        </w:rPr>
        <w:t>”) or (B) the combined voting power of the then outstanding voting securities of the Company entitled to vote generally in the election of directors (the “</w:t>
      </w:r>
      <w:r>
        <w:rPr>
          <w:rFonts w:ascii="Arial" w:cs="Arial" w:eastAsia="Arial" w:hAnsi="Arial"/>
          <w:sz w:val="17"/>
          <w:szCs w:val="17"/>
          <w:u w:val="single" w:color="auto"/>
          <w:color w:val="auto"/>
        </w:rPr>
        <w:t>Outstanding Company Voting Securities</w:t>
      </w:r>
      <w:r>
        <w:rPr>
          <w:rFonts w:ascii="Arial" w:cs="Arial" w:eastAsia="Arial" w:hAnsi="Arial"/>
          <w:sz w:val="17"/>
          <w:szCs w:val="17"/>
          <w:color w:val="auto"/>
        </w:rPr>
        <w:t>”); provided, however, that for purposes of this Plan, the following acquisitions shall not constitute a Change in Control: (I) any acquisition by the Company or any Affiliate, (II) any acquisition by any employee benefit plan sponsored or maintained by the Company or any Affiliate, (III)</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7" w:name="page8"/>
    <w:bookmarkEnd w:id="7"/>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acquisition which complies with clauses (A), (B) and (C) of subsection (v) of this Section 2(f) or (IV) in respect of an Award held by a particular Participant, any acquisition by the Participant or any group of persons including the Participant (or any entity controlled by the Participant or any group of persons including the Participant);</w:t>
      </w:r>
    </w:p>
    <w:p>
      <w:pPr>
        <w:spacing w:after="0" w:line="73" w:lineRule="exact"/>
        <w:rPr>
          <w:sz w:val="20"/>
          <w:szCs w:val="20"/>
          <w:color w:val="auto"/>
        </w:rPr>
      </w:pPr>
    </w:p>
    <w:p>
      <w:pPr>
        <w:ind w:right="40" w:firstLine="921"/>
        <w:spacing w:after="0" w:line="291" w:lineRule="auto"/>
        <w:tabs>
          <w:tab w:leader="none" w:pos="1178"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individuals who, on the date hereof, constitute the Board (the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xml:space="preserve">”) cease for any 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a registration statement of the Company describing such person’s inclusion on the Board, or a proxy statement of the Company in which such person is named as a nominee for director, without written objection to such nomination) shall be an Incumbent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with respect to directors or as a result of any other actual or threatened solicitation of proxies or consents by or on behalf of any person other than the Board shall be deemed to be an Incumbent Director;</w:t>
      </w:r>
    </w:p>
    <w:p>
      <w:pPr>
        <w:spacing w:after="0" w:line="59" w:lineRule="exact"/>
        <w:rPr>
          <w:rFonts w:ascii="Arial" w:cs="Arial" w:eastAsia="Arial" w:hAnsi="Arial"/>
          <w:sz w:val="16"/>
          <w:szCs w:val="16"/>
          <w:color w:val="auto"/>
        </w:rPr>
      </w:pPr>
    </w:p>
    <w:p>
      <w:pPr>
        <w:ind w:left="1240" w:hanging="319"/>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business or assets of the Company; or</w:t>
      </w:r>
    </w:p>
    <w:p>
      <w:pPr>
        <w:spacing w:after="0" w:line="117" w:lineRule="exact"/>
        <w:rPr>
          <w:rFonts w:ascii="Arial" w:cs="Arial" w:eastAsia="Arial" w:hAnsi="Arial"/>
          <w:sz w:val="18"/>
          <w:szCs w:val="18"/>
          <w:color w:val="auto"/>
        </w:rPr>
      </w:pPr>
    </w:p>
    <w:p>
      <w:pPr>
        <w:ind w:firstLine="921"/>
        <w:spacing w:after="0" w:line="268" w:lineRule="auto"/>
        <w:tabs>
          <w:tab w:leader="none" w:pos="116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consummation of a reorganization, recapitalization, merger, consolidation, statutory share exchange or similar form of corporate transaction involving the Company that requires the approval of the Company’s stockholders, whether for such transaction or the issuance of securities in the transaction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unless immediately following such Business Combination: (A) more than 50% of the total voting power of (x) the entity resulting from such Business Combination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 or (y)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7"/>
          <w:szCs w:val="17"/>
          <w:u w:val="single" w:color="auto"/>
          <w:color w:val="auto"/>
        </w:rPr>
        <w:t>Parent Company</w:t>
      </w:r>
      <w:r>
        <w:rPr>
          <w:rFonts w:ascii="Arial" w:cs="Arial" w:eastAsia="Arial" w:hAnsi="Arial"/>
          <w:sz w:val="17"/>
          <w:szCs w:val="17"/>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(B) no Person (other than any employee benefit plan sponsored or maintained by the Surviving Company or the Parent Company, or one or more Designated Holders), is or becomes the beneficial owner, directly or indirectly, of more than 50% of the total voting power of the outstanding voting securities eligible to elect members of the board of directors of the Parent Company (or the analogous governing body)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8" w:name="page9"/>
    <w:bookmarkEnd w:id="8"/>
    <w:p>
      <w:pPr>
        <w:ind w:left="-80" w:right="260" w:firstLine="464"/>
        <w:spacing w:after="0" w:line="277" w:lineRule="auto"/>
        <w:tabs>
          <w:tab w:leader="none" w:pos="631"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“Code” means the Internal Revenue Code of 1986, as amended. Reference in the Plan to any section of the Code shall be deemed to include any amendments or successor provisions to such section and any regulations under such section.</w:t>
      </w:r>
    </w:p>
    <w:p>
      <w:pPr>
        <w:spacing w:after="0" w:line="62" w:lineRule="exact"/>
        <w:rPr>
          <w:rFonts w:ascii="Arial" w:cs="Arial" w:eastAsia="Arial" w:hAnsi="Arial"/>
          <w:sz w:val="18"/>
          <w:szCs w:val="18"/>
          <w:color w:val="auto"/>
        </w:rPr>
      </w:pPr>
    </w:p>
    <w:p>
      <w:pPr>
        <w:ind w:left="-80" w:right="280" w:firstLine="464"/>
        <w:spacing w:after="0" w:line="277" w:lineRule="auto"/>
        <w:tabs>
          <w:tab w:leader="none" w:pos="63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or if the Board is acting as the Committee, the individuals constituting Eligible Directors of the Board.</w:t>
      </w:r>
    </w:p>
    <w:p>
      <w:pPr>
        <w:spacing w:after="0" w:line="62" w:lineRule="exact"/>
        <w:rPr>
          <w:rFonts w:ascii="Arial" w:cs="Arial" w:eastAsia="Arial" w:hAnsi="Arial"/>
          <w:sz w:val="18"/>
          <w:szCs w:val="18"/>
          <w:color w:val="auto"/>
        </w:rPr>
      </w:pPr>
    </w:p>
    <w:p>
      <w:pPr>
        <w:ind w:left="-80" w:right="240" w:firstLine="464"/>
        <w:spacing w:after="0" w:line="277" w:lineRule="auto"/>
        <w:tabs>
          <w:tab w:leader="none" w:pos="59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Stock” means the Series B Common Stock, par value $0.001 per share, of the Company and any stock into which such common stock may be converted or into which it may be exchanged.</w:t>
      </w:r>
    </w:p>
    <w:p>
      <w:pPr>
        <w:spacing w:after="0" w:line="62" w:lineRule="exact"/>
        <w:rPr>
          <w:rFonts w:ascii="Arial" w:cs="Arial" w:eastAsia="Arial" w:hAnsi="Arial"/>
          <w:sz w:val="18"/>
          <w:szCs w:val="18"/>
          <w:color w:val="auto"/>
        </w:rPr>
      </w:pPr>
    </w:p>
    <w:p>
      <w:pPr>
        <w:ind w:left="600" w:hanging="216"/>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“Company” means ExlService Holdings, Inc. and any successor thereto.</w:t>
      </w:r>
    </w:p>
    <w:p>
      <w:pPr>
        <w:spacing w:after="0" w:line="117" w:lineRule="exact"/>
        <w:rPr>
          <w:rFonts w:ascii="Arial" w:cs="Arial" w:eastAsia="Arial" w:hAnsi="Arial"/>
          <w:sz w:val="18"/>
          <w:szCs w:val="18"/>
          <w:color w:val="auto"/>
        </w:rPr>
      </w:pPr>
    </w:p>
    <w:p>
      <w:pPr>
        <w:ind w:left="-80" w:right="80" w:firstLine="464"/>
        <w:spacing w:after="0" w:line="277" w:lineRule="auto"/>
        <w:tabs>
          <w:tab w:leader="none" w:pos="631"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of Grant” means the date on which the granting of an Award is authorized, or such other date as may be specified in such authorization or, if there is no such date, the date indicated on the applicable Award Agreement.</w:t>
      </w:r>
    </w:p>
    <w:p>
      <w:pPr>
        <w:spacing w:after="0" w:line="62" w:lineRule="exact"/>
        <w:rPr>
          <w:rFonts w:ascii="Arial" w:cs="Arial" w:eastAsia="Arial" w:hAnsi="Arial"/>
          <w:sz w:val="18"/>
          <w:szCs w:val="18"/>
          <w:color w:val="auto"/>
        </w:rPr>
      </w:pPr>
    </w:p>
    <w:p>
      <w:pPr>
        <w:ind w:left="-80" w:right="480" w:firstLine="464"/>
        <w:spacing w:after="0" w:line="277" w:lineRule="auto"/>
        <w:tabs>
          <w:tab w:leader="none" w:pos="591"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“Designated Foreign Subsidiaries” means all Affiliates organized under the laws of any jurisdiction or country other than the United States of America that may be designated by the Board or the Committee from time to time.</w:t>
      </w:r>
    </w:p>
    <w:p>
      <w:pPr>
        <w:spacing w:after="0" w:line="62" w:lineRule="exact"/>
        <w:rPr>
          <w:rFonts w:ascii="Arial" w:cs="Arial" w:eastAsia="Arial" w:hAnsi="Arial"/>
          <w:sz w:val="18"/>
          <w:szCs w:val="18"/>
          <w:color w:val="auto"/>
        </w:rPr>
      </w:pPr>
    </w:p>
    <w:p>
      <w:pPr>
        <w:ind w:left="-80" w:right="40" w:firstLine="464"/>
        <w:spacing w:after="0" w:line="273" w:lineRule="auto"/>
        <w:tabs>
          <w:tab w:leader="none" w:pos="681" w:val="left"/>
        </w:tabs>
        <w:numPr>
          <w:ilvl w:val="0"/>
          <w:numId w:val="7"/>
        </w:numPr>
        <w:rPr>
          <w:rFonts w:ascii="Arial" w:cs="Arial" w:eastAsia="Arial" w:hAnsi="Arial"/>
          <w:sz w:val="17"/>
          <w:szCs w:val="17"/>
          <w:color w:val="auto"/>
        </w:rPr>
      </w:pPr>
      <w:r>
        <w:rPr>
          <w:rFonts w:ascii="Arial" w:cs="Arial" w:eastAsia="Arial" w:hAnsi="Arial"/>
          <w:sz w:val="17"/>
          <w:szCs w:val="17"/>
          <w:color w:val="auto"/>
        </w:rPr>
        <w:t>“Disability” means, unless in the case of a particular Award the applicable Award Agreement states otherwise, the Company or an Affiliate having cause to terminate a Participant’s employment or service on account of “disability,” as defined in any existing employment, consulting or other similar agreement between the Participant and the Company or an Affiliate or, in the absence of such an employment, consulting or other agreement,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as determined by the Committee based upon medical evidence acceptable to it.</w:t>
      </w:r>
    </w:p>
    <w:p>
      <w:pPr>
        <w:spacing w:after="0" w:line="70" w:lineRule="exact"/>
        <w:rPr>
          <w:rFonts w:ascii="Arial" w:cs="Arial" w:eastAsia="Arial" w:hAnsi="Arial"/>
          <w:sz w:val="17"/>
          <w:szCs w:val="17"/>
          <w:color w:val="auto"/>
        </w:rPr>
      </w:pPr>
    </w:p>
    <w:p>
      <w:pPr>
        <w:ind w:left="640" w:hanging="25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Date” means the date on which this Plan is approved by the Company’s stockholders.</w:t>
      </w:r>
    </w:p>
    <w:p>
      <w:pPr>
        <w:spacing w:after="0" w:line="117" w:lineRule="exact"/>
        <w:rPr>
          <w:rFonts w:ascii="Arial" w:cs="Arial" w:eastAsia="Arial" w:hAnsi="Arial"/>
          <w:sz w:val="18"/>
          <w:szCs w:val="18"/>
          <w:color w:val="auto"/>
        </w:rPr>
      </w:pPr>
    </w:p>
    <w:p>
      <w:pPr>
        <w:ind w:left="-80" w:firstLine="464"/>
        <w:spacing w:after="0" w:line="255" w:lineRule="auto"/>
        <w:tabs>
          <w:tab w:leader="none" w:pos="631"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“Eligible Director” means a person who is (i) a “non-employee director” within the meaning of Rule 16b-3 under the Exchange Act, or a person meeting any similar requirement under any successor rule or regulation and (ii) an “outside director” within the meaning of Section 162(m) of the Code, and the Treasury Regulations promulgated thereunder, and (iii) an “independent director” under the rules of the stock exchange on which the Stock is listed or the National Association of Securities Dealers Automated Quotation System (the “</w:t>
      </w:r>
      <w:r>
        <w:rPr>
          <w:rFonts w:ascii="Arial" w:cs="Arial" w:eastAsia="Arial" w:hAnsi="Arial"/>
          <w:sz w:val="18"/>
          <w:szCs w:val="18"/>
          <w:u w:val="single" w:color="auto"/>
          <w:color w:val="auto"/>
        </w:rPr>
        <w:t>Nasdaq</w:t>
      </w:r>
      <w:r>
        <w:rPr>
          <w:rFonts w:ascii="Arial" w:cs="Arial" w:eastAsia="Arial" w:hAnsi="Arial"/>
          <w:sz w:val="18"/>
          <w:szCs w:val="18"/>
          <w:color w:val="auto"/>
        </w:rPr>
        <w:t xml:space="preserve">”), as applicable;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clause (ii) shall apply only with respect to grants of Awards with respect to which the Company’s tax deduction could be limited by Section 162(m) of the Code if such clause did not apply.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20" w:top="274" w:right="299" w:bottom="1440" w:gutter="0" w:footer="0" w:header="0"/>
        </w:sectPr>
      </w:pPr>
    </w:p>
    <w:bookmarkStart w:id="9" w:name="page10"/>
    <w:bookmarkEnd w:id="9"/>
    <w:p>
      <w:pPr>
        <w:ind w:left="-8" w:firstLine="464"/>
        <w:spacing w:after="0" w:line="288" w:lineRule="auto"/>
        <w:tabs>
          <w:tab w:leader="none" w:pos="703" w:val="left"/>
        </w:tabs>
        <w:numPr>
          <w:ilvl w:val="1"/>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“Eligible Person” means any (i) individual regularly employed by the Company or Affiliate who satisfies all of the requirements of Section 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of the Company or an Affiliate or</w:t>
      </w:r>
    </w:p>
    <w:p>
      <w:pPr>
        <w:ind w:left="312" w:hanging="312"/>
        <w:spacing w:after="0"/>
        <w:tabs>
          <w:tab w:leader="none" w:pos="312"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consultant or advisor to the Company or an Affiliate who may be offered securities pursuant to Form S-8.</w:t>
      </w:r>
    </w:p>
    <w:p>
      <w:pPr>
        <w:spacing w:after="0" w:line="102" w:lineRule="exact"/>
        <w:rPr>
          <w:rFonts w:ascii="Arial" w:cs="Arial" w:eastAsia="Arial" w:hAnsi="Arial"/>
          <w:sz w:val="18"/>
          <w:szCs w:val="18"/>
          <w:color w:val="auto"/>
        </w:rPr>
      </w:pPr>
    </w:p>
    <w:p>
      <w:pPr>
        <w:ind w:left="712" w:hanging="256"/>
        <w:spacing w:after="0"/>
        <w:tabs>
          <w:tab w:leader="none" w:pos="712" w:val="left"/>
        </w:tabs>
        <w:numPr>
          <w:ilvl w:val="1"/>
          <w:numId w:val="9"/>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117" w:lineRule="exact"/>
        <w:rPr>
          <w:rFonts w:ascii="Arial" w:cs="Arial" w:eastAsia="Arial" w:hAnsi="Arial"/>
          <w:sz w:val="18"/>
          <w:szCs w:val="18"/>
          <w:color w:val="auto"/>
        </w:rPr>
      </w:pPr>
    </w:p>
    <w:p>
      <w:pPr>
        <w:ind w:left="-8" w:firstLine="464"/>
        <w:spacing w:after="0" w:line="255" w:lineRule="auto"/>
        <w:tabs>
          <w:tab w:leader="none" w:pos="673" w:val="left"/>
        </w:tabs>
        <w:numPr>
          <w:ilvl w:val="1"/>
          <w:numId w:val="9"/>
        </w:numPr>
        <w:rPr>
          <w:rFonts w:ascii="Arial" w:cs="Arial" w:eastAsia="Arial" w:hAnsi="Arial"/>
          <w:sz w:val="18"/>
          <w:szCs w:val="18"/>
          <w:color w:val="auto"/>
        </w:rPr>
      </w:pPr>
      <w:r>
        <w:rPr>
          <w:rFonts w:ascii="Arial" w:cs="Arial" w:eastAsia="Arial" w:hAnsi="Arial"/>
          <w:sz w:val="18"/>
          <w:szCs w:val="18"/>
          <w:color w:val="auto"/>
        </w:rPr>
        <w:t>“Fair Market Value,” on a given date, means (i) if the Stock is listed on a national securities exchange, the closing price reported as having occurred on the primary exchange with which the Stock is listed and traded on the date prior to such date, or, if there is no such sale on that date, then on the last preceding date on which such a sale was reported; (ii) if the Stock is not listed on any national securities exchange but is quoted in the Nasdaq National Market on a last sale basis, the last sale price on such date, or, if there is no such sale on that date, then on the last preceding date on which a sale was reported; or (iii) if the Stock is not listed on a national securities exchange nor quoted in the Nasdaq on a last sale basis, the amount determined by the Committee to be the fair market value based upon a good faith attempt to value the Stock accurately and computed in accordance with applicable regulations of the Internal Revenue Service.</w:t>
      </w:r>
    </w:p>
    <w:p>
      <w:pPr>
        <w:spacing w:after="0" w:line="81" w:lineRule="exact"/>
        <w:rPr>
          <w:rFonts w:ascii="Arial" w:cs="Arial" w:eastAsia="Arial" w:hAnsi="Arial"/>
          <w:sz w:val="18"/>
          <w:szCs w:val="18"/>
          <w:color w:val="auto"/>
        </w:rPr>
      </w:pPr>
    </w:p>
    <w:p>
      <w:pPr>
        <w:ind w:left="-8" w:right="200" w:firstLine="464"/>
        <w:spacing w:after="0" w:line="277" w:lineRule="auto"/>
        <w:tabs>
          <w:tab w:leader="none" w:pos="683"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“Incentive Stock Option” means an Option granted by the Committee to a Participant under the Plan which is designated by the Committee as an incentive stock option as described in Section 422 of the Code and otherwise meets the requirements set forth herein.</w:t>
      </w:r>
    </w:p>
    <w:p>
      <w:pPr>
        <w:spacing w:after="0" w:line="62" w:lineRule="exact"/>
        <w:rPr>
          <w:rFonts w:ascii="Arial" w:cs="Arial" w:eastAsia="Arial" w:hAnsi="Arial"/>
          <w:sz w:val="18"/>
          <w:szCs w:val="18"/>
          <w:color w:val="auto"/>
        </w:rPr>
      </w:pPr>
    </w:p>
    <w:p>
      <w:pPr>
        <w:ind w:left="-8" w:right="500" w:firstLine="464"/>
        <w:spacing w:after="0" w:line="286" w:lineRule="auto"/>
        <w:tabs>
          <w:tab w:leader="none" w:pos="663" w:val="left"/>
        </w:tabs>
        <w:numPr>
          <w:ilvl w:val="1"/>
          <w:numId w:val="9"/>
        </w:numPr>
        <w:rPr>
          <w:rFonts w:ascii="Arial" w:cs="Arial" w:eastAsia="Arial" w:hAnsi="Arial"/>
          <w:sz w:val="17"/>
          <w:szCs w:val="17"/>
          <w:color w:val="auto"/>
        </w:rPr>
      </w:pPr>
      <w:r>
        <w:rPr>
          <w:rFonts w:ascii="Arial" w:cs="Arial" w:eastAsia="Arial" w:hAnsi="Arial"/>
          <w:sz w:val="17"/>
          <w:szCs w:val="17"/>
          <w:color w:val="auto"/>
        </w:rPr>
        <w:t>“Negative Discretion” shall mean the discretion authorized by the Plan to be applied by the Committee to eliminate or reduce the size of a Performance Compensation Award in accordance with Section 11(d)(iv) of the Plan; provided, that the exercise of such discretion would not cause the Performance Compensation Award to fail to qualify as “performance-based compensation” under Section 162(m) of the Code.</w:t>
      </w:r>
    </w:p>
    <w:p>
      <w:pPr>
        <w:spacing w:after="0" w:line="57" w:lineRule="exact"/>
        <w:rPr>
          <w:rFonts w:ascii="Arial" w:cs="Arial" w:eastAsia="Arial" w:hAnsi="Arial"/>
          <w:sz w:val="17"/>
          <w:szCs w:val="17"/>
          <w:color w:val="auto"/>
        </w:rPr>
      </w:pPr>
    </w:p>
    <w:p>
      <w:pPr>
        <w:ind w:left="-8" w:right="40" w:firstLine="464"/>
        <w:spacing w:after="0" w:line="277" w:lineRule="auto"/>
        <w:tabs>
          <w:tab w:leader="none" w:pos="703" w:val="left"/>
        </w:tabs>
        <w:numPr>
          <w:ilvl w:val="1"/>
          <w:numId w:val="9"/>
        </w:numPr>
        <w:rPr>
          <w:rFonts w:ascii="Arial" w:cs="Arial" w:eastAsia="Arial" w:hAnsi="Arial"/>
          <w:sz w:val="18"/>
          <w:szCs w:val="18"/>
          <w:color w:val="auto"/>
        </w:rPr>
      </w:pPr>
      <w:r>
        <w:rPr>
          <w:rFonts w:ascii="Arial" w:cs="Arial" w:eastAsia="Arial" w:hAnsi="Arial"/>
          <w:sz w:val="18"/>
          <w:szCs w:val="18"/>
          <w:color w:val="auto"/>
        </w:rPr>
        <w:t>“Nonqualified Stock Option” means an Option granted by the Committee to a Participant under the Plan which is not designated by the Committee as an Incentive Stock Option.</w:t>
      </w:r>
    </w:p>
    <w:p>
      <w:pPr>
        <w:spacing w:after="0" w:line="62" w:lineRule="exact"/>
        <w:rPr>
          <w:rFonts w:ascii="Arial" w:cs="Arial" w:eastAsia="Arial" w:hAnsi="Arial"/>
          <w:sz w:val="18"/>
          <w:szCs w:val="18"/>
          <w:color w:val="auto"/>
        </w:rPr>
      </w:pPr>
    </w:p>
    <w:p>
      <w:pPr>
        <w:ind w:left="712" w:hanging="256"/>
        <w:spacing w:after="0"/>
        <w:tabs>
          <w:tab w:leader="none" w:pos="712" w:val="left"/>
        </w:tabs>
        <w:numPr>
          <w:ilvl w:val="1"/>
          <w:numId w:val="9"/>
        </w:numPr>
        <w:rPr>
          <w:rFonts w:ascii="Arial" w:cs="Arial" w:eastAsia="Arial" w:hAnsi="Arial"/>
          <w:sz w:val="18"/>
          <w:szCs w:val="18"/>
          <w:color w:val="auto"/>
        </w:rPr>
      </w:pPr>
      <w:r>
        <w:rPr>
          <w:rFonts w:ascii="Arial" w:cs="Arial" w:eastAsia="Arial" w:hAnsi="Arial"/>
          <w:sz w:val="18"/>
          <w:szCs w:val="18"/>
          <w:color w:val="auto"/>
        </w:rPr>
        <w:t>“Option” means an Award granted under Section 7 of the Plan.</w:t>
      </w:r>
    </w:p>
    <w:p>
      <w:pPr>
        <w:spacing w:after="0" w:line="117" w:lineRule="exact"/>
        <w:rPr>
          <w:rFonts w:ascii="Arial" w:cs="Arial" w:eastAsia="Arial" w:hAnsi="Arial"/>
          <w:sz w:val="18"/>
          <w:szCs w:val="18"/>
          <w:color w:val="auto"/>
        </w:rPr>
      </w:pPr>
    </w:p>
    <w:p>
      <w:pPr>
        <w:ind w:left="752" w:hanging="296"/>
        <w:spacing w:after="0"/>
        <w:tabs>
          <w:tab w:leader="none" w:pos="752" w:val="left"/>
        </w:tabs>
        <w:numPr>
          <w:ilvl w:val="1"/>
          <w:numId w:val="9"/>
        </w:numPr>
        <w:rPr>
          <w:rFonts w:ascii="Arial" w:cs="Arial" w:eastAsia="Arial" w:hAnsi="Arial"/>
          <w:sz w:val="18"/>
          <w:szCs w:val="18"/>
          <w:color w:val="auto"/>
        </w:rPr>
      </w:pPr>
      <w:r>
        <w:rPr>
          <w:rFonts w:ascii="Arial" w:cs="Arial" w:eastAsia="Arial" w:hAnsi="Arial"/>
          <w:sz w:val="18"/>
          <w:szCs w:val="18"/>
          <w:color w:val="auto"/>
        </w:rPr>
        <w:t>“Option Period” means the period described in Section 7(c) of the Plan.</w:t>
      </w:r>
    </w:p>
    <w:p>
      <w:pPr>
        <w:spacing w:after="0" w:line="117" w:lineRule="exact"/>
        <w:rPr>
          <w:rFonts w:ascii="Arial" w:cs="Arial" w:eastAsia="Arial" w:hAnsi="Arial"/>
          <w:sz w:val="18"/>
          <w:szCs w:val="18"/>
          <w:color w:val="auto"/>
        </w:rPr>
      </w:pPr>
    </w:p>
    <w:p>
      <w:pPr>
        <w:ind w:left="712" w:hanging="256"/>
        <w:spacing w:after="0"/>
        <w:tabs>
          <w:tab w:leader="none" w:pos="712" w:val="left"/>
        </w:tabs>
        <w:numPr>
          <w:ilvl w:val="1"/>
          <w:numId w:val="9"/>
        </w:numPr>
        <w:rPr>
          <w:rFonts w:ascii="Arial" w:cs="Arial" w:eastAsia="Arial" w:hAnsi="Arial"/>
          <w:sz w:val="18"/>
          <w:szCs w:val="18"/>
          <w:color w:val="auto"/>
        </w:rPr>
      </w:pPr>
      <w:r>
        <w:rPr>
          <w:rFonts w:ascii="Arial" w:cs="Arial" w:eastAsia="Arial" w:hAnsi="Arial"/>
          <w:sz w:val="18"/>
          <w:szCs w:val="18"/>
          <w:color w:val="auto"/>
        </w:rPr>
        <w:t>“Option Price” means the exercise price for an Option as described in Section 7(a) of the Plan.</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32"/>
          </w:cols>
          <w:pgMar w:left="248" w:top="274" w:right="319" w:bottom="1440" w:gutter="0" w:footer="0" w:header="0"/>
        </w:sectPr>
      </w:pPr>
    </w:p>
    <w:bookmarkStart w:id="10" w:name="page11"/>
    <w:bookmarkEnd w:id="10"/>
    <w:p>
      <w:pPr>
        <w:ind w:left="-80" w:right="380" w:firstLine="464"/>
        <w:spacing w:after="0" w:line="277" w:lineRule="auto"/>
        <w:tabs>
          <w:tab w:leader="none" w:pos="631"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 means an Eligible Person who has been selected by the Committee to participate in the Plan and to receive an Award pursuant to Section 6 of the Plan.</w:t>
      </w:r>
    </w:p>
    <w:p>
      <w:pPr>
        <w:spacing w:after="0" w:line="62" w:lineRule="exact"/>
        <w:rPr>
          <w:rFonts w:ascii="Arial" w:cs="Arial" w:eastAsia="Arial" w:hAnsi="Arial"/>
          <w:sz w:val="18"/>
          <w:szCs w:val="18"/>
          <w:color w:val="auto"/>
        </w:rPr>
      </w:pPr>
    </w:p>
    <w:p>
      <w:pPr>
        <w:ind w:left="620" w:hanging="236"/>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“Parent” means any parent of the Company, as defined in Section 424(e) of the Code.</w:t>
      </w:r>
    </w:p>
    <w:p>
      <w:pPr>
        <w:spacing w:after="0" w:line="117" w:lineRule="exact"/>
        <w:rPr>
          <w:sz w:val="20"/>
          <w:szCs w:val="20"/>
          <w:color w:val="auto"/>
        </w:rPr>
      </w:pPr>
    </w:p>
    <w:p>
      <w:pPr>
        <w:ind w:left="-80" w:right="340" w:firstLine="464"/>
        <w:spacing w:after="0" w:line="308" w:lineRule="auto"/>
        <w:tabs>
          <w:tab w:leader="none" w:pos="701"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“Performance Compensation Award” shall mean any Award designated by the Committee as a Performance Compensation Award pursuant to Section 11 of the Plan.</w:t>
      </w:r>
    </w:p>
    <w:p>
      <w:pPr>
        <w:spacing w:after="0" w:line="38" w:lineRule="exact"/>
        <w:rPr>
          <w:rFonts w:ascii="Arial" w:cs="Arial" w:eastAsia="Arial" w:hAnsi="Arial"/>
          <w:sz w:val="17"/>
          <w:szCs w:val="17"/>
          <w:color w:val="auto"/>
        </w:rPr>
      </w:pPr>
    </w:p>
    <w:p>
      <w:pPr>
        <w:ind w:left="-80" w:firstLine="464"/>
        <w:spacing w:after="0" w:line="259" w:lineRule="auto"/>
        <w:tabs>
          <w:tab w:leader="none" w:pos="7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Criteria” shall mean the criterion or criteria that the Committee shall select for purposes of establishing the Performance Goal(s) for a Performance Period with respect to any Performance Compensation Award under the Plan. The Performance Criteria that will be used to establish the Performance Goal(s) shall be based on the attainment of specific levels of performance of the Company (or Affiliate, division or operational unit of the Company) and shall be limited to the following:</w:t>
      </w:r>
    </w:p>
    <w:p>
      <w:pPr>
        <w:spacing w:after="0" w:line="78" w:lineRule="exact"/>
        <w:rPr>
          <w:rFonts w:ascii="Arial" w:cs="Arial" w:eastAsia="Arial" w:hAnsi="Arial"/>
          <w:sz w:val="18"/>
          <w:szCs w:val="18"/>
          <w:color w:val="auto"/>
        </w:rPr>
      </w:pPr>
    </w:p>
    <w:p>
      <w:pPr>
        <w:ind w:left="1060" w:hanging="219"/>
        <w:spacing w:after="0"/>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117" w:lineRule="exact"/>
        <w:rPr>
          <w:rFonts w:ascii="Arial" w:cs="Arial" w:eastAsia="Arial" w:hAnsi="Arial"/>
          <w:sz w:val="18"/>
          <w:szCs w:val="18"/>
          <w:color w:val="auto"/>
        </w:rPr>
      </w:pPr>
    </w:p>
    <w:p>
      <w:pPr>
        <w:ind w:left="1100" w:hanging="259"/>
        <w:spacing w:after="0"/>
        <w:tabs>
          <w:tab w:leader="none" w:pos="11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117" w:lineRule="exact"/>
        <w:rPr>
          <w:rFonts w:ascii="Arial" w:cs="Arial" w:eastAsia="Arial" w:hAnsi="Arial"/>
          <w:sz w:val="18"/>
          <w:szCs w:val="18"/>
          <w:color w:val="auto"/>
        </w:rPr>
      </w:pPr>
    </w:p>
    <w:p>
      <w:pPr>
        <w:ind w:left="1160" w:hanging="319"/>
        <w:spacing w:after="0"/>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117" w:lineRule="exact"/>
        <w:rPr>
          <w:rFonts w:ascii="Arial" w:cs="Arial" w:eastAsia="Arial" w:hAnsi="Arial"/>
          <w:sz w:val="18"/>
          <w:szCs w:val="18"/>
          <w:color w:val="auto"/>
        </w:rPr>
      </w:pPr>
    </w:p>
    <w:p>
      <w:pPr>
        <w:ind w:left="1140" w:hanging="299"/>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117" w:lineRule="exact"/>
        <w:rPr>
          <w:rFonts w:ascii="Arial" w:cs="Arial" w:eastAsia="Arial" w:hAnsi="Arial"/>
          <w:sz w:val="18"/>
          <w:szCs w:val="18"/>
          <w:color w:val="auto"/>
        </w:rPr>
      </w:pPr>
    </w:p>
    <w:p>
      <w:pPr>
        <w:ind w:left="1100" w:hanging="259"/>
        <w:spacing w:after="0"/>
        <w:tabs>
          <w:tab w:leader="none" w:pos="11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new client revenue</w:t>
      </w:r>
    </w:p>
    <w:p>
      <w:pPr>
        <w:spacing w:after="0" w:line="117" w:lineRule="exact"/>
        <w:rPr>
          <w:rFonts w:ascii="Arial" w:cs="Arial" w:eastAsia="Arial" w:hAnsi="Arial"/>
          <w:sz w:val="18"/>
          <w:szCs w:val="18"/>
          <w:color w:val="auto"/>
        </w:rPr>
      </w:pPr>
    </w:p>
    <w:p>
      <w:pPr>
        <w:ind w:left="1140" w:hanging="299"/>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117" w:lineRule="exact"/>
        <w:rPr>
          <w:rFonts w:ascii="Arial" w:cs="Arial" w:eastAsia="Arial" w:hAnsi="Arial"/>
          <w:sz w:val="18"/>
          <w:szCs w:val="18"/>
          <w:color w:val="auto"/>
        </w:rPr>
      </w:pPr>
    </w:p>
    <w:p>
      <w:pPr>
        <w:ind w:left="1200" w:hanging="359"/>
        <w:spacing w:after="0"/>
        <w:tabs>
          <w:tab w:leader="none" w:pos="12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117" w:lineRule="exact"/>
        <w:rPr>
          <w:rFonts w:ascii="Arial" w:cs="Arial" w:eastAsia="Arial" w:hAnsi="Arial"/>
          <w:sz w:val="18"/>
          <w:szCs w:val="18"/>
          <w:color w:val="auto"/>
        </w:rPr>
      </w:pPr>
    </w:p>
    <w:p>
      <w:pPr>
        <w:ind w:left="1240" w:hanging="399"/>
        <w:spacing w:after="0"/>
        <w:tabs>
          <w:tab w:leader="none" w:pos="12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117" w:lineRule="exact"/>
        <w:rPr>
          <w:rFonts w:ascii="Arial" w:cs="Arial" w:eastAsia="Arial" w:hAnsi="Arial"/>
          <w:sz w:val="18"/>
          <w:szCs w:val="18"/>
          <w:color w:val="auto"/>
        </w:rPr>
      </w:pPr>
    </w:p>
    <w:p>
      <w:pPr>
        <w:ind w:left="1140" w:hanging="299"/>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117" w:lineRule="exact"/>
        <w:rPr>
          <w:rFonts w:ascii="Arial" w:cs="Arial" w:eastAsia="Arial" w:hAnsi="Arial"/>
          <w:sz w:val="18"/>
          <w:szCs w:val="18"/>
          <w:color w:val="auto"/>
        </w:rPr>
      </w:pPr>
    </w:p>
    <w:p>
      <w:pPr>
        <w:ind w:left="1100" w:hanging="259"/>
        <w:spacing w:after="0"/>
        <w:tabs>
          <w:tab w:leader="none" w:pos="11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w:t>
      </w:r>
    </w:p>
    <w:p>
      <w:pPr>
        <w:spacing w:after="0" w:line="117" w:lineRule="exact"/>
        <w:rPr>
          <w:rFonts w:ascii="Arial" w:cs="Arial" w:eastAsia="Arial" w:hAnsi="Arial"/>
          <w:sz w:val="18"/>
          <w:szCs w:val="18"/>
          <w:color w:val="auto"/>
        </w:rPr>
      </w:pPr>
    </w:p>
    <w:p>
      <w:pPr>
        <w:ind w:left="1140" w:hanging="299"/>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117" w:lineRule="exact"/>
        <w:rPr>
          <w:rFonts w:ascii="Arial" w:cs="Arial" w:eastAsia="Arial" w:hAnsi="Arial"/>
          <w:sz w:val="18"/>
          <w:szCs w:val="18"/>
          <w:color w:val="auto"/>
        </w:rPr>
      </w:pPr>
    </w:p>
    <w:p>
      <w:pPr>
        <w:ind w:left="1200" w:hanging="359"/>
        <w:spacing w:after="0"/>
        <w:tabs>
          <w:tab w:leader="none" w:pos="12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117" w:lineRule="exact"/>
        <w:rPr>
          <w:rFonts w:ascii="Arial" w:cs="Arial" w:eastAsia="Arial" w:hAnsi="Arial"/>
          <w:sz w:val="18"/>
          <w:szCs w:val="18"/>
          <w:color w:val="auto"/>
        </w:rPr>
      </w:pPr>
    </w:p>
    <w:p>
      <w:pPr>
        <w:ind w:left="1240" w:hanging="399"/>
        <w:spacing w:after="0"/>
        <w:tabs>
          <w:tab w:leader="none" w:pos="12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320" w:top="274" w:right="319" w:bottom="1440" w:gutter="0" w:footer="0" w:header="0"/>
        </w:sectPr>
      </w:pPr>
    </w:p>
    <w:bookmarkStart w:id="11" w:name="page12"/>
    <w:bookmarkEnd w:id="11"/>
    <w:p>
      <w:pPr>
        <w:ind w:left="1320" w:hanging="399"/>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 targets;</w:t>
      </w:r>
    </w:p>
    <w:p>
      <w:pPr>
        <w:spacing w:after="0" w:line="117" w:lineRule="exact"/>
        <w:rPr>
          <w:rFonts w:ascii="Arial" w:cs="Arial" w:eastAsia="Arial" w:hAnsi="Arial"/>
          <w:sz w:val="18"/>
          <w:szCs w:val="18"/>
          <w:color w:val="auto"/>
        </w:rPr>
      </w:pPr>
    </w:p>
    <w:p>
      <w:pPr>
        <w:ind w:left="1260" w:hanging="339"/>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margins;</w:t>
      </w:r>
    </w:p>
    <w:p>
      <w:pPr>
        <w:spacing w:after="0" w:line="117" w:lineRule="exact"/>
        <w:rPr>
          <w:rFonts w:ascii="Arial" w:cs="Arial" w:eastAsia="Arial" w:hAnsi="Arial"/>
          <w:sz w:val="18"/>
          <w:szCs w:val="18"/>
          <w:color w:val="auto"/>
        </w:rPr>
      </w:pPr>
    </w:p>
    <w:p>
      <w:pPr>
        <w:ind w:left="1320" w:hanging="399"/>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117" w:lineRule="exact"/>
        <w:rPr>
          <w:rFonts w:ascii="Arial" w:cs="Arial" w:eastAsia="Arial" w:hAnsi="Arial"/>
          <w:sz w:val="18"/>
          <w:szCs w:val="18"/>
          <w:color w:val="auto"/>
        </w:rPr>
      </w:pPr>
    </w:p>
    <w:p>
      <w:pPr>
        <w:ind w:left="1360" w:hanging="439"/>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117" w:lineRule="exact"/>
        <w:rPr>
          <w:rFonts w:ascii="Arial" w:cs="Arial" w:eastAsia="Arial" w:hAnsi="Arial"/>
          <w:sz w:val="18"/>
          <w:szCs w:val="18"/>
          <w:color w:val="auto"/>
        </w:rPr>
      </w:pPr>
    </w:p>
    <w:p>
      <w:pPr>
        <w:ind w:left="1420" w:hanging="499"/>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117" w:lineRule="exact"/>
        <w:rPr>
          <w:rFonts w:ascii="Arial" w:cs="Arial" w:eastAsia="Arial" w:hAnsi="Arial"/>
          <w:sz w:val="18"/>
          <w:szCs w:val="18"/>
          <w:color w:val="auto"/>
        </w:rPr>
      </w:pPr>
    </w:p>
    <w:p>
      <w:pPr>
        <w:ind w:left="1320" w:hanging="399"/>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117" w:lineRule="exact"/>
        <w:rPr>
          <w:rFonts w:ascii="Arial" w:cs="Arial" w:eastAsia="Arial" w:hAnsi="Arial"/>
          <w:sz w:val="18"/>
          <w:szCs w:val="18"/>
          <w:color w:val="auto"/>
        </w:rPr>
      </w:pPr>
    </w:p>
    <w:p>
      <w:pPr>
        <w:ind w:left="1260" w:hanging="339"/>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117" w:lineRule="exact"/>
        <w:rPr>
          <w:rFonts w:ascii="Arial" w:cs="Arial" w:eastAsia="Arial" w:hAnsi="Arial"/>
          <w:sz w:val="18"/>
          <w:szCs w:val="18"/>
          <w:color w:val="auto"/>
        </w:rPr>
      </w:pPr>
    </w:p>
    <w:p>
      <w:pPr>
        <w:ind w:left="1320" w:hanging="399"/>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enterprise value.</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one or more of the Performance Criteria may be used on an absolute or relative basis to measure the performance of the Company and/or an Affiliate as a whole or any business unit of the Company and/or an Affiliate or any combination thereof, as the Committee may deem appropriate, or any of the above Performance Criteria as compared to the performance of a group of comparable companies, or published or special index that the Committee, in its sole discretion, deems appropriate, or the Company may select Performance Criterion above as compared to a pre-selected peer group or published index. The Committee also has the authority to provide for accelerated vesting of any Award based on the achievement of Performance Goals pursuant to the Performance Criteria specified in this paragraph. To the extent required under Section 162(m) of the Code, the Committee shall, within the first 90 days of a Performance Period (or, if longer or shorter, within the maximum period allowed under Section 162(m) of the Code), define in an objective fashion the manner of calculating the Performance Criteria it selects to use for such Performance Period. In the event that applicable tax and/or securities laws change to permit Committee discretion to alter the governing Performance Criteria without obtaining stockholder approval of such changes, the Committee shall have sole discretion to make such changes without obtaining stockholder approval.</w:t>
      </w:r>
    </w:p>
    <w:p>
      <w:pPr>
        <w:spacing w:after="0" w:line="70" w:lineRule="exact"/>
        <w:rPr>
          <w:sz w:val="20"/>
          <w:szCs w:val="20"/>
          <w:color w:val="auto"/>
        </w:rPr>
      </w:pPr>
    </w:p>
    <w:p>
      <w:pPr>
        <w:ind w:right="160" w:firstLine="464"/>
        <w:spacing w:after="0" w:line="264" w:lineRule="auto"/>
        <w:tabs>
          <w:tab w:leader="none" w:pos="7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Formula” shall mean, for a Performance Period, the one or more objective formulas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73" w:lineRule="exact"/>
        <w:rPr>
          <w:rFonts w:ascii="Arial" w:cs="Arial" w:eastAsia="Arial" w:hAnsi="Arial"/>
          <w:sz w:val="18"/>
          <w:szCs w:val="18"/>
          <w:color w:val="auto"/>
        </w:rPr>
      </w:pPr>
    </w:p>
    <w:p>
      <w:pPr>
        <w:ind w:right="40" w:firstLine="464"/>
        <w:spacing w:after="0" w:line="279" w:lineRule="auto"/>
        <w:tabs>
          <w:tab w:leader="none" w:pos="8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“Performance Goals” shall mean, for a Performance Period, the one or more goals established by the Committee for the Performance Period based upon the Performance Criteria. The Committee is authorized at any time during the first 90 days of a Performance Period (or, if longer or shorter, within the maximum period allowed under Section 162(m) of the Code), or at any time thereafter (but only to the extent the exercise of such authority after such period would not cause the Performance Compensation Awards granted to any Participant for the Performance Period to fail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2" w:name="page13"/>
    <w:bookmarkEnd w:id="12"/>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qualify as “performance-based compensation” under Section 162(m) of the Code), in its sole and absolute discretion, to adjust or modify the calculation of a Performance Goal for such Performance Period to the extent permitted under Section 162(m) of the Code in order to prevent the dilution or enlargement of the rights of Participants based on the following events:</w:t>
      </w:r>
    </w:p>
    <w:p>
      <w:pPr>
        <w:spacing w:after="0" w:line="73" w:lineRule="exact"/>
        <w:rPr>
          <w:sz w:val="20"/>
          <w:szCs w:val="20"/>
          <w:color w:val="auto"/>
        </w:rPr>
      </w:pPr>
    </w:p>
    <w:p>
      <w:pPr>
        <w:ind w:left="1140" w:hanging="219"/>
        <w:spacing w:after="0"/>
        <w:tabs>
          <w:tab w:leader="none" w:pos="11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litigation or claim judgments or settlements,</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effect of changes in tax laws, accounting principles, or other laws or regulatory rules affecting reported results,</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reorganization and restructuring programs,</w:t>
      </w:r>
    </w:p>
    <w:p>
      <w:pPr>
        <w:spacing w:after="0" w:line="117" w:lineRule="exact"/>
        <w:rPr>
          <w:rFonts w:ascii="Arial" w:cs="Arial" w:eastAsia="Arial" w:hAnsi="Arial"/>
          <w:sz w:val="18"/>
          <w:szCs w:val="18"/>
          <w:color w:val="auto"/>
        </w:rPr>
      </w:pPr>
    </w:p>
    <w:p>
      <w:pPr>
        <w:ind w:firstLine="921"/>
        <w:spacing w:after="0" w:line="312" w:lineRule="auto"/>
        <w:tabs>
          <w:tab w:leader="none" w:pos="1168" w:val="left"/>
        </w:tabs>
        <w:numPr>
          <w:ilvl w:val="1"/>
          <w:numId w:val="14"/>
        </w:numPr>
        <w:rPr>
          <w:rFonts w:ascii="Arial" w:cs="Arial" w:eastAsia="Arial" w:hAnsi="Arial"/>
          <w:sz w:val="16"/>
          <w:szCs w:val="16"/>
          <w:color w:val="auto"/>
        </w:rPr>
      </w:pPr>
      <w:r>
        <w:rPr>
          <w:rFonts w:ascii="Arial" w:cs="Arial" w:eastAsia="Arial" w:hAnsi="Arial"/>
          <w:sz w:val="16"/>
          <w:szCs w:val="16"/>
          <w:color w:val="auto"/>
        </w:rPr>
        <w:t>extraordinary nonrecurring items as described in Accounting Principles Board Opinion No. 30 (or any successor pronouncement thereto) or unusual or infrequently occurring items pursuant to Accounting Standards Update 2015-01 (or any successor pronouncement thereto) and/or in management’s discussion and analysis of financial condition and results of operations appearing in the Company’s annual report to stockholders for the applicable year,</w:t>
      </w:r>
    </w:p>
    <w:p>
      <w:pPr>
        <w:spacing w:after="0" w:line="38" w:lineRule="exact"/>
        <w:rPr>
          <w:rFonts w:ascii="Arial" w:cs="Arial" w:eastAsia="Arial" w:hAnsi="Arial"/>
          <w:sz w:val="16"/>
          <w:szCs w:val="16"/>
          <w:color w:val="auto"/>
        </w:rPr>
      </w:pPr>
    </w:p>
    <w:p>
      <w:pPr>
        <w:ind w:left="1220" w:hanging="299"/>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117" w:lineRule="exact"/>
        <w:rPr>
          <w:rFonts w:ascii="Arial" w:cs="Arial" w:eastAsia="Arial" w:hAnsi="Arial"/>
          <w:sz w:val="18"/>
          <w:szCs w:val="18"/>
          <w:color w:val="auto"/>
        </w:rPr>
      </w:pPr>
    </w:p>
    <w:p>
      <w:pPr>
        <w:ind w:left="1280" w:hanging="359"/>
        <w:spacing w:after="0"/>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other specific unusual or nonrecurring events, or objectively determinable category thereof;</w:t>
      </w:r>
    </w:p>
    <w:p>
      <w:pPr>
        <w:spacing w:after="0" w:line="117" w:lineRule="exact"/>
        <w:rPr>
          <w:rFonts w:ascii="Arial" w:cs="Arial" w:eastAsia="Arial" w:hAnsi="Arial"/>
          <w:sz w:val="18"/>
          <w:szCs w:val="18"/>
          <w:color w:val="auto"/>
        </w:rPr>
      </w:pPr>
    </w:p>
    <w:p>
      <w:pPr>
        <w:ind w:left="1320" w:hanging="399"/>
        <w:spacing w:after="0"/>
        <w:tabs>
          <w:tab w:leader="none" w:pos="13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foreign exchange gains and losses, and</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change in the Company’s fiscal year.</w:t>
      </w:r>
    </w:p>
    <w:p>
      <w:pPr>
        <w:spacing w:after="0" w:line="117" w:lineRule="exact"/>
        <w:rPr>
          <w:rFonts w:ascii="Arial" w:cs="Arial" w:eastAsia="Arial" w:hAnsi="Arial"/>
          <w:sz w:val="18"/>
          <w:szCs w:val="18"/>
          <w:color w:val="auto"/>
        </w:rPr>
      </w:pPr>
    </w:p>
    <w:p>
      <w:pPr>
        <w:jc w:val="both"/>
        <w:ind w:right="140" w:firstLine="464"/>
        <w:spacing w:after="0" w:line="286" w:lineRule="auto"/>
        <w:tabs>
          <w:tab w:leader="none" w:pos="781"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 Period” shall mean the one or more periods of time not less than one (1) year in duration, as the Committee may select, over which the attainment of one or more Performance Goals will be measured for the purpose of determining a Participant’s right to and the payment of a Performance Compensation Award.</w:t>
      </w:r>
    </w:p>
    <w:p>
      <w:pPr>
        <w:spacing w:after="0" w:line="57" w:lineRule="exact"/>
        <w:rPr>
          <w:rFonts w:ascii="Arial" w:cs="Arial" w:eastAsia="Arial" w:hAnsi="Arial"/>
          <w:sz w:val="17"/>
          <w:szCs w:val="17"/>
          <w:color w:val="auto"/>
        </w:rPr>
      </w:pPr>
    </w:p>
    <w:p>
      <w:pPr>
        <w:ind w:right="360" w:firstLine="464"/>
        <w:spacing w:after="0" w:line="277" w:lineRule="auto"/>
        <w:tabs>
          <w:tab w:leader="none" w:pos="7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“Phantom Stock Award” shall mean a cash award whose value is determined based on the change in the value of the Company Common Stock from the Effective Date.</w:t>
      </w:r>
    </w:p>
    <w:p>
      <w:pPr>
        <w:spacing w:after="0" w:line="62" w:lineRule="exact"/>
        <w:rPr>
          <w:rFonts w:ascii="Arial" w:cs="Arial" w:eastAsia="Arial" w:hAnsi="Arial"/>
          <w:sz w:val="18"/>
          <w:szCs w:val="18"/>
          <w:color w:val="auto"/>
        </w:rPr>
      </w:pPr>
    </w:p>
    <w:p>
      <w:pPr>
        <w:ind w:left="800" w:hanging="33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“Plan” means this ExlService Holdings, Inc. 2015 Amendment and Restatement of the 2006 Omnibus Award Plan.</w:t>
      </w:r>
    </w:p>
    <w:p>
      <w:pPr>
        <w:spacing w:after="0" w:line="117" w:lineRule="exact"/>
        <w:rPr>
          <w:rFonts w:ascii="Arial" w:cs="Arial" w:eastAsia="Arial" w:hAnsi="Arial"/>
          <w:sz w:val="18"/>
          <w:szCs w:val="18"/>
          <w:color w:val="auto"/>
        </w:rPr>
      </w:pPr>
    </w:p>
    <w:p>
      <w:pPr>
        <w:jc w:val="both"/>
        <w:ind w:right="440" w:firstLine="464"/>
        <w:spacing w:after="0" w:line="264" w:lineRule="auto"/>
        <w:tabs>
          <w:tab w:leader="none" w:pos="8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“Restricted Period” means, with respect to any Award of Restricted Stock or any Restricted Stock Unit, the period of time determined by the Committee during which such Award is subject to the restrictions set forth in Section 9 or, as applicable, the period of time within which performance is measured for purposes of determining whether an Award has been earned.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3" w:name="page14"/>
    <w:bookmarkEnd w:id="13"/>
    <w:p>
      <w:pPr>
        <w:ind w:left="720" w:hanging="256"/>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 means shares of Stock issued or transferred to a Participant subject to forfeiture and the other restrictions set forth in Section 9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102" w:lineRule="exact"/>
        <w:rPr>
          <w:rFonts w:ascii="Arial" w:cs="Arial" w:eastAsia="Arial" w:hAnsi="Arial"/>
          <w:sz w:val="16"/>
          <w:szCs w:val="16"/>
          <w:color w:val="auto"/>
        </w:rPr>
      </w:pPr>
    </w:p>
    <w:p>
      <w:pPr>
        <w:ind w:left="720" w:hanging="256"/>
        <w:spacing w:after="0"/>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“Restricted Stock Unit” means a hypothetical investment equivalent to one share of Stock granted in connection with an Award made under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9.</w:t>
      </w:r>
    </w:p>
    <w:p>
      <w:pPr>
        <w:spacing w:after="0" w:line="102" w:lineRule="exact"/>
        <w:rPr>
          <w:rFonts w:ascii="Arial" w:cs="Arial" w:eastAsia="Arial" w:hAnsi="Arial"/>
          <w:sz w:val="17"/>
          <w:szCs w:val="17"/>
          <w:color w:val="auto"/>
        </w:rPr>
      </w:pPr>
    </w:p>
    <w:p>
      <w:pPr>
        <w:ind w:left="800" w:hanging="33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117" w:lineRule="exact"/>
        <w:rPr>
          <w:rFonts w:ascii="Arial" w:cs="Arial" w:eastAsia="Arial" w:hAnsi="Arial"/>
          <w:sz w:val="18"/>
          <w:szCs w:val="18"/>
          <w:color w:val="auto"/>
        </w:rPr>
      </w:pPr>
    </w:p>
    <w:p>
      <w:pPr>
        <w:ind w:right="80" w:firstLine="464"/>
        <w:spacing w:after="0" w:line="277" w:lineRule="auto"/>
        <w:tabs>
          <w:tab w:leader="none" w:pos="7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“Senior Participant” means each of the Chief Executive Officer and the President of the Company and an employee of the Company or an Affiliate that is designated as a member of the Executive Committee.</w:t>
      </w:r>
    </w:p>
    <w:p>
      <w:pPr>
        <w:spacing w:after="0" w:line="62" w:lineRule="exact"/>
        <w:rPr>
          <w:rFonts w:ascii="Arial" w:cs="Arial" w:eastAsia="Arial" w:hAnsi="Arial"/>
          <w:sz w:val="18"/>
          <w:szCs w:val="18"/>
          <w:color w:val="auto"/>
        </w:rPr>
      </w:pPr>
    </w:p>
    <w:p>
      <w:pPr>
        <w:ind w:right="180" w:firstLine="464"/>
        <w:spacing w:after="0" w:line="277" w:lineRule="auto"/>
        <w:tabs>
          <w:tab w:leader="none" w:pos="9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means the Common Stock or such other authorized shares of stock of the Company as the Committee may from time to time authorize for use under the Plan.</w:t>
      </w:r>
    </w:p>
    <w:p>
      <w:pPr>
        <w:spacing w:after="0" w:line="62" w:lineRule="exact"/>
        <w:rPr>
          <w:rFonts w:ascii="Arial" w:cs="Arial" w:eastAsia="Arial" w:hAnsi="Arial"/>
          <w:sz w:val="18"/>
          <w:szCs w:val="18"/>
          <w:color w:val="auto"/>
        </w:rPr>
      </w:pPr>
    </w:p>
    <w:p>
      <w:pPr>
        <w:ind w:left="800" w:hanging="33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Appreciation Right” or “SAR” means an Award granted under Section 8 of the Plan.</w:t>
      </w:r>
    </w:p>
    <w:p>
      <w:pPr>
        <w:spacing w:after="0" w:line="117" w:lineRule="exact"/>
        <w:rPr>
          <w:rFonts w:ascii="Arial" w:cs="Arial" w:eastAsia="Arial" w:hAnsi="Arial"/>
          <w:sz w:val="18"/>
          <w:szCs w:val="18"/>
          <w:color w:val="auto"/>
        </w:rPr>
      </w:pPr>
    </w:p>
    <w:p>
      <w:pPr>
        <w:ind w:left="800" w:hanging="33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Bonus” means an Award granted under Section 10 of the Plan.</w:t>
      </w:r>
    </w:p>
    <w:p>
      <w:pPr>
        <w:spacing w:after="0" w:line="117" w:lineRule="exact"/>
        <w:rPr>
          <w:rFonts w:ascii="Arial" w:cs="Arial" w:eastAsia="Arial" w:hAnsi="Arial"/>
          <w:sz w:val="18"/>
          <w:szCs w:val="18"/>
          <w:color w:val="auto"/>
        </w:rPr>
      </w:pPr>
    </w:p>
    <w:p>
      <w:pPr>
        <w:ind w:right="180" w:firstLine="464"/>
        <w:spacing w:after="0" w:line="277" w:lineRule="auto"/>
        <w:tabs>
          <w:tab w:leader="none" w:pos="8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Option Agreement” means any agreement between the Company and a Participant who has been granted an Option pursuant to Section 7 which defines the rights and obligations of the parties thereto.</w:t>
      </w:r>
    </w:p>
    <w:p>
      <w:pPr>
        <w:spacing w:after="0" w:line="62" w:lineRule="exact"/>
        <w:rPr>
          <w:rFonts w:ascii="Arial" w:cs="Arial" w:eastAsia="Arial" w:hAnsi="Arial"/>
          <w:sz w:val="18"/>
          <w:szCs w:val="18"/>
          <w:color w:val="auto"/>
        </w:rPr>
      </w:pPr>
    </w:p>
    <w:p>
      <w:pPr>
        <w:ind w:firstLine="464"/>
        <w:spacing w:after="0" w:line="277" w:lineRule="auto"/>
        <w:tabs>
          <w:tab w:leader="none" w:pos="8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“Strike Price” means, (i) in the case of a SAR granted in tandem with an Option, the Option Price of the related Option, or (ii) in the case of a SAR granted independent of an Option, the Fair Market Value on the Date of Grant.</w:t>
      </w:r>
    </w:p>
    <w:p>
      <w:pPr>
        <w:spacing w:after="0" w:line="62" w:lineRule="exact"/>
        <w:rPr>
          <w:rFonts w:ascii="Arial" w:cs="Arial" w:eastAsia="Arial" w:hAnsi="Arial"/>
          <w:sz w:val="18"/>
          <w:szCs w:val="18"/>
          <w:color w:val="auto"/>
        </w:rPr>
      </w:pPr>
    </w:p>
    <w:p>
      <w:pPr>
        <w:ind w:left="740" w:hanging="27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“Subsidiary” means any subsidiary of the Company, as defined in Section 424(f) of the Code.</w:t>
      </w:r>
    </w:p>
    <w:p>
      <w:pPr>
        <w:spacing w:after="0" w:line="117" w:lineRule="exact"/>
        <w:rPr>
          <w:rFonts w:ascii="Arial" w:cs="Arial" w:eastAsia="Arial" w:hAnsi="Arial"/>
          <w:sz w:val="18"/>
          <w:szCs w:val="18"/>
          <w:color w:val="auto"/>
        </w:rPr>
      </w:pPr>
    </w:p>
    <w:p>
      <w:pPr>
        <w:ind w:right="40" w:firstLine="464"/>
        <w:spacing w:after="0" w:line="308" w:lineRule="auto"/>
        <w:tabs>
          <w:tab w:leader="none" w:pos="761"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“Substitute Award” means an Award granted or issued to a Participant in assumption or substitution of outstanding awards by an entity acquired by the Company or any Affiliate or Subsidiary or with which the Company, an Affiliate or a Subsidiary combines.</w:t>
      </w:r>
    </w:p>
    <w:p>
      <w:pPr>
        <w:spacing w:after="0" w:line="38" w:lineRule="exact"/>
        <w:rPr>
          <w:rFonts w:ascii="Arial" w:cs="Arial" w:eastAsia="Arial" w:hAnsi="Arial"/>
          <w:sz w:val="17"/>
          <w:szCs w:val="17"/>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“Vested Unit” shall have the meaning ascribed thereto in Section 9(d).</w:t>
      </w:r>
    </w:p>
    <w:p>
      <w:pPr>
        <w:spacing w:after="0" w:line="117" w:lineRule="exact"/>
        <w:rPr>
          <w:rFonts w:ascii="Arial" w:cs="Arial" w:eastAsia="Arial" w:hAnsi="Arial"/>
          <w:sz w:val="18"/>
          <w:szCs w:val="18"/>
          <w:color w:val="auto"/>
        </w:rPr>
      </w:pPr>
    </w:p>
    <w:p>
      <w:pPr>
        <w:ind w:right="360" w:firstLine="464"/>
        <w:spacing w:after="0" w:line="277" w:lineRule="auto"/>
        <w:tabs>
          <w:tab w:leader="none" w:pos="8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“Vice President Participant” means an employee of the Company or an Affiliate holding the office of vice president or any office senior or the office of vice president.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4" w:name="page15"/>
    <w:bookmarkEnd w:id="1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Effective Date, Duration and Stockholder Approval</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Plan is effective as of the Effective Date. No Option shall be treated as an Incentive Stock Option unless the Plan has been approved by the stockholders of the Company in a manner intended to comply with the stockholder approval requirements of Section 422(b)(i)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that any Option intended to be an Incentive Stock Option shall not fail to be effective solely on account of a failure to obtain such approval, but rather such Option shall be treated as a Nonqualified Stock Option unless and until such approval is obtained.</w:t>
      </w:r>
    </w:p>
    <w:p>
      <w:pPr>
        <w:spacing w:after="0" w:line="18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 xml:space="preserve">The expiration date of the Plan, on and after which no Awards may be granted hereunder, shall be the tenth anniversary of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administration of the Plan shall continue in effect until all matters relating to Awards previously granted have been settled.</w:t>
      </w:r>
    </w:p>
    <w:p>
      <w:pPr>
        <w:spacing w:after="0" w:line="29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121" w:lineRule="exact"/>
        <w:rPr>
          <w:rFonts w:ascii="Arial" w:cs="Arial" w:eastAsia="Arial" w:hAnsi="Arial"/>
          <w:sz w:val="18"/>
          <w:szCs w:val="18"/>
          <w:color w:val="auto"/>
        </w:rPr>
      </w:pPr>
    </w:p>
    <w:p>
      <w:pPr>
        <w:ind w:right="240" w:firstLine="464"/>
        <w:spacing w:after="0" w:line="264" w:lineRule="auto"/>
        <w:tabs>
          <w:tab w:leader="none" w:pos="701"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Committee shall administer the Plan. The majority of the members of the Committee shall constitute a quorum. The acts of a majority of the members present at any meeting at which a quorum is present or acts approved in writing by a majority of the Committee shall be deemed the acts of the Committee.</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Subject to the provisions of the Plan and applicable law, the Committee shall have the power, and in addition to other express powers and</w:t>
      </w:r>
    </w:p>
    <w:p>
      <w:pPr>
        <w:spacing w:after="0" w:line="34" w:lineRule="exact"/>
        <w:rPr>
          <w:rFonts w:ascii="Arial" w:cs="Arial" w:eastAsia="Arial" w:hAnsi="Arial"/>
          <w:sz w:val="17"/>
          <w:szCs w:val="17"/>
          <w:color w:val="auto"/>
        </w:rPr>
      </w:pPr>
    </w:p>
    <w:p>
      <w:pPr>
        <w:ind w:right="40"/>
        <w:spacing w:after="0" w:line="286" w:lineRule="auto"/>
        <w:rPr>
          <w:rFonts w:ascii="Arial" w:cs="Arial" w:eastAsia="Arial" w:hAnsi="Arial"/>
          <w:sz w:val="17"/>
          <w:szCs w:val="17"/>
          <w:color w:val="auto"/>
        </w:rPr>
      </w:pPr>
      <w:r>
        <w:rPr>
          <w:rFonts w:ascii="Arial" w:cs="Arial" w:eastAsia="Arial" w:hAnsi="Arial"/>
          <w:sz w:val="16"/>
          <w:szCs w:val="16"/>
          <w:color w:val="auto"/>
        </w:rPr>
        <w:t>authorizations conferred on the Committee by the Plan, to: (i) designate Participants; (ii) determine the type or types of Awards to be granted to a Participant; (iii) determine the number of shares of Stock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of Stock, other securities, other Awards or other property, or canceled, forfeited, or suspended and the method or methods by which Awards may be settled, exercised, canceled, forfeited, or suspended; (vi) determine whether, to what extent, and under what circumstances the delivery of cash, Stock, other securities, other Options, other property and other amounts payable with respect to an Award shall be deferred either automatically or at the election of the holder thereof or of the Committee; (vii) interpret, administer, reconcile any inconsistency, correct any defect and/or supply any omission in the Plan and any instrument or agreement relating to, or Award granted under, the Plan; (viii) establish, amend, suspend, or waive such rules and regulations; (ix) appoint such agents as it shall deem appropriate for the proper administration of the Plan; and (x) make any other determination and take any other action that the Committee deems necessary or desirable for the administration of the Plan.</w:t>
      </w:r>
    </w:p>
    <w:p>
      <w:pPr>
        <w:spacing w:after="0" w:line="62" w:lineRule="exact"/>
        <w:rPr>
          <w:rFonts w:ascii="Arial" w:cs="Arial" w:eastAsia="Arial" w:hAnsi="Arial"/>
          <w:sz w:val="17"/>
          <w:szCs w:val="17"/>
          <w:color w:val="auto"/>
        </w:rPr>
      </w:pPr>
    </w:p>
    <w:p>
      <w:pPr>
        <w:ind w:firstLine="464"/>
        <w:spacing w:after="0" w:line="279" w:lineRule="auto"/>
        <w:tabs>
          <w:tab w:leader="none" w:pos="701" w:val="left"/>
        </w:tabs>
        <w:numPr>
          <w:ilvl w:val="1"/>
          <w:numId w:val="17"/>
        </w:numPr>
        <w:rPr>
          <w:rFonts w:ascii="Arial" w:cs="Arial" w:eastAsia="Arial" w:hAnsi="Arial"/>
          <w:sz w:val="17"/>
          <w:szCs w:val="17"/>
          <w:color w:val="auto"/>
        </w:rPr>
      </w:pPr>
      <w:r>
        <w:rPr>
          <w:rFonts w:ascii="Arial" w:cs="Arial" w:eastAsia="Arial" w:hAnsi="Arial"/>
          <w:sz w:val="17"/>
          <w:szCs w:val="17"/>
          <w:color w:val="auto"/>
        </w:rPr>
        <w:t>Notwithstanding the foregoing, the Committee may delegate to any officer or officers of the Company or any Affiliate the authority to act on behalf of the Committee with respect to any matter, right, obligation, or election which is the responsibility of or which is allocated to the Committee herein, and which may be so delegated as a matter of law, except for grants of Awards to (i) “covered employees” under Code Section 162(m) (other than Awards exempt from the application of Code Section 162(m)) and (ii) persons subject to Section 16 of the 1934 Act.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0" w:right="279" w:bottom="1440" w:gutter="0" w:footer="0" w:header="0"/>
        </w:sectPr>
      </w:pPr>
    </w:p>
    <w:bookmarkStart w:id="15" w:name="page16"/>
    <w:bookmarkEnd w:id="15"/>
    <w:p>
      <w:pPr>
        <w:jc w:val="both"/>
        <w:ind w:right="120" w:firstLine="464"/>
        <w:spacing w:after="0" w:line="259" w:lineRule="auto"/>
        <w:tabs>
          <w:tab w:leader="none" w:pos="711"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parties, including, without limitation, the Company, any Affiliate, any Participant, any holder or beneficiary of any Award, and any stockholder.</w:t>
      </w:r>
    </w:p>
    <w:p>
      <w:pPr>
        <w:spacing w:after="0" w:line="78" w:lineRule="exact"/>
        <w:rPr>
          <w:rFonts w:ascii="Arial" w:cs="Arial" w:eastAsia="Arial" w:hAnsi="Arial"/>
          <w:sz w:val="18"/>
          <w:szCs w:val="18"/>
          <w:color w:val="auto"/>
        </w:rPr>
      </w:pPr>
    </w:p>
    <w:p>
      <w:pPr>
        <w:ind w:right="180" w:firstLine="464"/>
        <w:spacing w:after="0" w:line="277" w:lineRule="auto"/>
        <w:tabs>
          <w:tab w:leader="none" w:pos="701"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 member of the Board, Committee or any officer or employee to whom authority has been delegated administrative authority shall be liable for any action or determination made in good faith with respect to the Plan or any Award hereunder.</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Grant of Awards; Shares Subject to the Plan</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The Committee may, from time to time, grant Awards of Options, Stock Appreciation Rights, Restricted Stock, Restricted Stock Units, Phantom Stock Awards, Stock Bonuses and/or Performance Compensation Awards to one or more Eligible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62" w:lineRule="exact"/>
        <w:rPr>
          <w:sz w:val="20"/>
          <w:szCs w:val="20"/>
          <w:color w:val="auto"/>
        </w:rPr>
      </w:pPr>
    </w:p>
    <w:p>
      <w:pPr>
        <w:ind w:firstLine="464"/>
        <w:spacing w:after="0" w:line="264" w:lineRule="auto"/>
        <w:tabs>
          <w:tab w:leader="none" w:pos="701"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to Section 13, the aggregate number of shares of Stock in respect of which Awards may be granted under the Plan as of the Effective Date is: (x) the number of shares available for grant as of immediately prior the Effective Date, plus (y) 1,700,000 shares of Stock (representing the number of new shares being submitted for stockholder approval at the 2015 annual meeting).</w:t>
      </w:r>
    </w:p>
    <w:p>
      <w:pPr>
        <w:spacing w:after="0" w:line="73" w:lineRule="exact"/>
        <w:rPr>
          <w:rFonts w:ascii="Arial" w:cs="Arial" w:eastAsia="Arial" w:hAnsi="Arial"/>
          <w:sz w:val="18"/>
          <w:szCs w:val="18"/>
          <w:color w:val="auto"/>
        </w:rPr>
      </w:pPr>
    </w:p>
    <w:p>
      <w:pPr>
        <w:ind w:right="40" w:firstLine="464"/>
        <w:spacing w:after="0" w:line="269" w:lineRule="auto"/>
        <w:tabs>
          <w:tab w:leader="none" w:pos="711"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Shares of Stock shall not be deemed to have been used in settlement of Awards in the event the Award is settled in cash. Shares of Stock delivered (either directly or by means of attestation) in full or partial payment of the Option Price in accordance with Section 7(b) or in satisfaction of applicable tax withholding obligations or withheld by the Company in full or partial payment of the Option Price or in satisfaction of applicable tax withholding obligations for any Award shall be deducted from the number of shares of Stock delivered to the Participant pursuant to such Option or such other Award for purposes of determining the number of shares of Stock acquired pursuant to the Plan. In accordance with (and without limitation upon) the preceding sentence, if and to the extent an Award under the Plan expires, terminates or is canceled for any reason whatsoever without the Participant having received any benefit therefrom, the shares covered by such Award shall again become available for future Awards under the Plan. For purposes of the foregoing sentence, a Participant shall not be deemed to have received any “benefit” (i) in the case of forfeited Restricted Stock Awards by reason of having enjoyed voting rights and dividend rights prior to the date of forfeiture or (ii) in the case of an Award canceled pursuant to Section 5(e) by reason of a new Award being granted in substitution therefor. For the avoidance of doubt, the share counting and add back provisions of this Section 2(b) shall also apply to any Awards under the Original Plan that are outstanding as of the Effective Date.</w:t>
      </w:r>
    </w:p>
    <w:p>
      <w:pPr>
        <w:spacing w:after="0" w:line="74" w:lineRule="exact"/>
        <w:rPr>
          <w:rFonts w:ascii="Arial" w:cs="Arial" w:eastAsia="Arial" w:hAnsi="Arial"/>
          <w:sz w:val="17"/>
          <w:szCs w:val="17"/>
          <w:color w:val="auto"/>
        </w:rPr>
      </w:pPr>
    </w:p>
    <w:p>
      <w:pPr>
        <w:ind w:right="120" w:firstLine="464"/>
        <w:spacing w:after="0" w:line="277" w:lineRule="auto"/>
        <w:tabs>
          <w:tab w:leader="none" w:pos="701"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delivered by the Company in settlement of Awards may be authorized and unissued Stock, Stock held in the treasury of the Company, Stock purchased on the open market or by private purchase, or a combination of the foregoing;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6" w:name="page17"/>
    <w:bookmarkEnd w:id="16"/>
    <w:p>
      <w:pPr>
        <w:ind w:firstLine="464"/>
        <w:spacing w:after="0" w:line="277" w:lineRule="auto"/>
        <w:tabs>
          <w:tab w:leader="none" w:pos="711"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Section 13, no person may be granted Options or SARs under the Plan during any calendar year with respect to more than 500,000 shares of Stock; and</w:t>
      </w:r>
    </w:p>
    <w:p>
      <w:pPr>
        <w:spacing w:after="0" w:line="62" w:lineRule="exact"/>
        <w:rPr>
          <w:rFonts w:ascii="Arial" w:cs="Arial" w:eastAsia="Arial" w:hAnsi="Arial"/>
          <w:sz w:val="18"/>
          <w:szCs w:val="18"/>
          <w:color w:val="auto"/>
        </w:rPr>
      </w:pPr>
    </w:p>
    <w:p>
      <w:pPr>
        <w:ind w:right="100" w:firstLine="464"/>
        <w:spacing w:after="0" w:line="286" w:lineRule="auto"/>
        <w:tabs>
          <w:tab w:leader="none" w:pos="701" w:val="left"/>
        </w:tabs>
        <w:numPr>
          <w:ilvl w:val="1"/>
          <w:numId w:val="21"/>
        </w:numPr>
        <w:rPr>
          <w:rFonts w:ascii="Arial" w:cs="Arial" w:eastAsia="Arial" w:hAnsi="Arial"/>
          <w:sz w:val="17"/>
          <w:szCs w:val="17"/>
          <w:color w:val="auto"/>
        </w:rPr>
      </w:pPr>
      <w:r>
        <w:rPr>
          <w:rFonts w:ascii="Arial" w:cs="Arial" w:eastAsia="Arial" w:hAnsi="Arial"/>
          <w:sz w:val="17"/>
          <w:szCs w:val="17"/>
          <w:color w:val="auto"/>
        </w:rPr>
        <w:t>Without limiting the generality of the preceding provisions of this Section 5, the Committee may, but solely with the Participant’s consent, agree to cancel any Award under the Plan and issue a new Award in substitution therefor upon such terms as the Committee may in its sole discretion determine, provided that the substituted Award satisfies all applicable Plan requirements as of the date such new Award is granted.</w:t>
      </w:r>
    </w:p>
    <w:p>
      <w:pPr>
        <w:spacing w:after="0" w:line="57" w:lineRule="exact"/>
        <w:rPr>
          <w:rFonts w:ascii="Arial" w:cs="Arial" w:eastAsia="Arial" w:hAnsi="Arial"/>
          <w:sz w:val="17"/>
          <w:szCs w:val="17"/>
          <w:color w:val="auto"/>
        </w:rPr>
      </w:pPr>
    </w:p>
    <w:p>
      <w:pPr>
        <w:ind w:left="680" w:hanging="216"/>
        <w:spacing w:after="0"/>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Substitute Awards shall not be counted against the shares of Stock available for granting Awards under the Plan.</w:t>
      </w:r>
    </w:p>
    <w:p>
      <w:pPr>
        <w:spacing w:after="0" w:line="117" w:lineRule="exact"/>
        <w:rPr>
          <w:rFonts w:ascii="Arial" w:cs="Arial" w:eastAsia="Arial" w:hAnsi="Arial"/>
          <w:sz w:val="18"/>
          <w:szCs w:val="18"/>
          <w:color w:val="auto"/>
        </w:rPr>
      </w:pPr>
    </w:p>
    <w:p>
      <w:pPr>
        <w:ind w:right="220" w:firstLine="464"/>
        <w:spacing w:after="0" w:line="264" w:lineRule="auto"/>
        <w:tabs>
          <w:tab w:leader="none" w:pos="711"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the event the Company or any Subsidiary or Affiliate acquires or combines with a company that has shares available under a pre-existing plan, such shares shall be available for grant of Awards under this Plan, subject to applicable listing exchange requirements and shall not be counted against the shares of Stock available for granting Awards under the Plan.</w:t>
      </w:r>
    </w:p>
    <w:p>
      <w:pPr>
        <w:spacing w:after="0" w:line="73" w:lineRule="exact"/>
        <w:rPr>
          <w:rFonts w:ascii="Arial" w:cs="Arial" w:eastAsia="Arial" w:hAnsi="Arial"/>
          <w:sz w:val="18"/>
          <w:szCs w:val="18"/>
          <w:color w:val="auto"/>
        </w:rPr>
      </w:pPr>
    </w:p>
    <w:p>
      <w:pPr>
        <w:ind w:firstLine="464"/>
        <w:spacing w:after="0" w:line="312" w:lineRule="auto"/>
        <w:tabs>
          <w:tab w:leader="none" w:pos="711" w:val="left"/>
        </w:tabs>
        <w:numPr>
          <w:ilvl w:val="1"/>
          <w:numId w:val="21"/>
        </w:numPr>
        <w:rPr>
          <w:rFonts w:ascii="Arial" w:cs="Arial" w:eastAsia="Arial" w:hAnsi="Arial"/>
          <w:sz w:val="16"/>
          <w:szCs w:val="16"/>
          <w:color w:val="auto"/>
        </w:rPr>
      </w:pPr>
      <w:r>
        <w:rPr>
          <w:rFonts w:ascii="Arial" w:cs="Arial" w:eastAsia="Arial" w:hAnsi="Arial"/>
          <w:sz w:val="16"/>
          <w:szCs w:val="16"/>
          <w:color w:val="auto"/>
        </w:rPr>
        <w:t>Notwithstanding any other provision in the Plan to the contrary, the aggregate Fair Market Value on the Date of Grant (computed as of the Date of Grant in accordance with applicable financial accounting rules) of all Awards granted to any Eligible Director during any single fiscal year (excluding Awards made at the election of the Eligible Director in lieu of all or a portion of annual and committee cash retainers) shall not exceed $500,000.</w:t>
      </w:r>
    </w:p>
    <w:p>
      <w:pPr>
        <w:spacing w:after="0" w:line="291"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Participation shall be limited to Eligible Persons who have entered into an Award Agreement or who have received written notification from the Committee, or from a person designated by the Committee, that they have been selected to participate in the Plan.</w:t>
      </w:r>
    </w:p>
    <w:p>
      <w:pPr>
        <w:spacing w:after="0" w:line="31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 xml:space="preserve">The Committee is authorized to grant one or more Incentive Stock Options or Nonqualified Stock Options to any Eligible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Incentive Stock Option shall be granted to any Eligible Person who is not an employee of the Company or a Parent or Subsidiary. Each Option so granted shall be subject to the conditions set forth in this Section 7, or to such other conditions as may be reflected in the applicable Stock Option Agreement.</w:t>
      </w:r>
    </w:p>
    <w:p>
      <w:pPr>
        <w:spacing w:after="0" w:line="35" w:lineRule="exact"/>
        <w:rPr>
          <w:sz w:val="20"/>
          <w:szCs w:val="20"/>
          <w:color w:val="auto"/>
        </w:rPr>
      </w:pPr>
    </w:p>
    <w:p>
      <w:pPr>
        <w:ind w:right="260" w:firstLine="464"/>
        <w:spacing w:after="0" w:line="313" w:lineRule="auto"/>
        <w:tabs>
          <w:tab w:leader="none" w:pos="701"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Option Price</w:t>
      </w:r>
      <w:r>
        <w:rPr>
          <w:rFonts w:ascii="Arial" w:cs="Arial" w:eastAsia="Arial" w:hAnsi="Arial"/>
          <w:sz w:val="17"/>
          <w:szCs w:val="17"/>
          <w:color w:val="auto"/>
        </w:rPr>
        <w:t>. Except with respect to an Option that is a Substitute Award, the exercise price (“Option Price”) per share of Stock for each Option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set by the Committee at the time of grant but shall not be less than the Fair Market Value of a share of Stock on the Date of Grant.</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7" w:name="page18"/>
    <w:bookmarkEnd w:id="17"/>
    <w:p>
      <w:pPr>
        <w:ind w:left="-40" w:right="20" w:firstLine="464"/>
        <w:spacing w:after="0" w:line="288" w:lineRule="auto"/>
        <w:tabs>
          <w:tab w:leader="none" w:pos="671"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Manner of Exercise and Form of Payment</w:t>
      </w:r>
      <w:r>
        <w:rPr>
          <w:rFonts w:ascii="Arial" w:cs="Arial" w:eastAsia="Arial" w:hAnsi="Arial"/>
          <w:sz w:val="16"/>
          <w:szCs w:val="16"/>
          <w:color w:val="auto"/>
        </w:rPr>
        <w:t>. No shares of Stock shall be delivered pursuant to any exercise of an Option until payment in full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Price therefor is received by the Company. Options which have become exercisable may be exercised by delivery of written notice of exercise to the Committee accompanied by payment of the Option Price. The Option Price shall be payable (i) in cash, check, cash equivalent and/or shares of Stock valued at the Fair Market Value at the time the Option is exercised (including by means of attestation of ownership of a sufficient number of shares of Stock in lieu of actual delivery of such shares to the Company), (ii) in the discretion of the Committee, either (A) in other property having a fair market value on the date of exercise equal to the Option Price or (B) by delivering to the Committee a copy of irrevocable instructions to a stockbroker to deliver promptly to the Company an amount of loan proceeds, or proceeds from the sale of the Stock subject to the Option, sufficient to pay the Option Price or (iii) by such other method as the Committee may allow. Notwithstanding the foregoing, in no event shall a Participant be permitted to exercise an Option in the manner described in clause (ii) or (iii) of the preceding sentence if the Committee determines that exercising an Option in such manner would violate the Sarbanes-Oxley Act of 2002, any other applicable law or the applicable rules and regulations of the Securities and Exchange Commission or the applicable rules and regulations of any securities exchange or inter dealer quotation system on which the securities of the Company or any Affiliates are listed or traded.</w:t>
      </w:r>
    </w:p>
    <w:p>
      <w:pPr>
        <w:spacing w:after="0" w:line="56" w:lineRule="exact"/>
        <w:rPr>
          <w:rFonts w:ascii="Arial" w:cs="Arial" w:eastAsia="Arial" w:hAnsi="Arial"/>
          <w:sz w:val="16"/>
          <w:szCs w:val="16"/>
          <w:color w:val="auto"/>
        </w:rPr>
      </w:pPr>
    </w:p>
    <w:p>
      <w:pPr>
        <w:ind w:left="-40" w:firstLine="464"/>
        <w:spacing w:after="0" w:line="277" w:lineRule="auto"/>
        <w:tabs>
          <w:tab w:leader="none" w:pos="661"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Vesting, Option Period and Expiration</w:t>
      </w:r>
      <w:r>
        <w:rPr>
          <w:rFonts w:ascii="Arial" w:cs="Arial" w:eastAsia="Arial" w:hAnsi="Arial"/>
          <w:sz w:val="17"/>
          <w:szCs w:val="17"/>
          <w:color w:val="auto"/>
        </w:rPr>
        <w:t>. Options shall vest and become exercisable in such manner and on such date or dates determined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Committee and shall expire after such period, not to exceed ten years, as may be determined by the Committee (the “Option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 vesting dates set by the Committee, the Committee may, in its sole discretion, accelerate the exercisability of any Option, which acceleration shall not affect the terms and conditions of such Option other than with respect to exercisability. If an Option is exercisable in installments, such installments or portions thereof which become exercisable shall remain exercisable until the Option expires.</w:t>
      </w:r>
    </w:p>
    <w:p>
      <w:pPr>
        <w:spacing w:after="0" w:line="60" w:lineRule="exact"/>
        <w:rPr>
          <w:rFonts w:ascii="Arial" w:cs="Arial" w:eastAsia="Arial" w:hAnsi="Arial"/>
          <w:sz w:val="17"/>
          <w:szCs w:val="17"/>
          <w:color w:val="auto"/>
        </w:rPr>
      </w:pPr>
    </w:p>
    <w:p>
      <w:pPr>
        <w:ind w:left="-40" w:firstLine="464"/>
        <w:spacing w:after="0" w:line="266" w:lineRule="auto"/>
        <w:tabs>
          <w:tab w:leader="none" w:pos="671"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Automatic Exercise</w:t>
      </w:r>
      <w:r>
        <w:rPr>
          <w:rFonts w:ascii="Arial" w:cs="Arial" w:eastAsia="Arial" w:hAnsi="Arial"/>
          <w:sz w:val="18"/>
          <w:szCs w:val="18"/>
          <w:color w:val="auto"/>
        </w:rPr>
        <w:t>. Unless otherwise provided in the Award Agreement, if on the last day of the Option Period, the Fair Market Value exceeds the</w:t>
      </w:r>
      <w:r>
        <w:rPr>
          <w:rFonts w:ascii="Arial" w:cs="Arial" w:eastAsia="Arial" w:hAnsi="Arial"/>
          <w:sz w:val="18"/>
          <w:szCs w:val="18"/>
          <w:b w:val="1"/>
          <w:bCs w:val="1"/>
          <w:color w:val="auto"/>
        </w:rPr>
        <w:t xml:space="preserve"> </w:t>
      </w:r>
      <w:r>
        <w:rPr>
          <w:rFonts w:ascii="Arial" w:cs="Arial" w:eastAsia="Arial" w:hAnsi="Arial"/>
          <w:sz w:val="18"/>
          <w:szCs w:val="18"/>
          <w:color w:val="auto"/>
        </w:rPr>
        <w:t>Strike Price, the Participant has not exercised the Option, and the Option has not expired, such Option shall be deemed to have been exercised by the Participant on such last day and the Company shall make the appropriate payment therefor.</w:t>
      </w:r>
    </w:p>
    <w:p>
      <w:pPr>
        <w:spacing w:after="0" w:line="68" w:lineRule="exact"/>
        <w:rPr>
          <w:rFonts w:ascii="Arial" w:cs="Arial" w:eastAsia="Arial" w:hAnsi="Arial"/>
          <w:sz w:val="18"/>
          <w:szCs w:val="18"/>
          <w:color w:val="auto"/>
        </w:rPr>
      </w:pPr>
    </w:p>
    <w:p>
      <w:pPr>
        <w:ind w:left="-40" w:right="120" w:firstLine="464"/>
        <w:spacing w:after="0" w:line="266" w:lineRule="auto"/>
        <w:tabs>
          <w:tab w:leader="none" w:pos="661"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Stock Option Agreement—Other Terms and Conditions</w:t>
      </w:r>
      <w:r>
        <w:rPr>
          <w:rFonts w:ascii="Arial" w:cs="Arial" w:eastAsia="Arial" w:hAnsi="Arial"/>
          <w:sz w:val="18"/>
          <w:szCs w:val="18"/>
          <w:color w:val="auto"/>
        </w:rPr>
        <w:t>. Each Option granted under the Plan shall be evidenced by a Stock Option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specifically provided otherwise in such Stock Option Agreement, each Option granted under the Plan shall be subject to the following terms and conditions:</w:t>
      </w:r>
    </w:p>
    <w:p>
      <w:pPr>
        <w:spacing w:after="0" w:line="72" w:lineRule="exact"/>
        <w:rPr>
          <w:rFonts w:ascii="Arial" w:cs="Arial" w:eastAsia="Arial" w:hAnsi="Arial"/>
          <w:sz w:val="18"/>
          <w:szCs w:val="18"/>
          <w:color w:val="auto"/>
        </w:rPr>
      </w:pPr>
    </w:p>
    <w:p>
      <w:pPr>
        <w:ind w:left="1100" w:hanging="219"/>
        <w:spacing w:after="0"/>
        <w:tabs>
          <w:tab w:leader="none" w:pos="11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Option or portion thereof that is exercisable shall be exercisable for the full amount or for any part thereof.</w:t>
      </w:r>
    </w:p>
    <w:p>
      <w:pPr>
        <w:spacing w:after="0" w:line="117" w:lineRule="exact"/>
        <w:rPr>
          <w:rFonts w:ascii="Arial" w:cs="Arial" w:eastAsia="Arial" w:hAnsi="Arial"/>
          <w:sz w:val="18"/>
          <w:szCs w:val="18"/>
          <w:color w:val="auto"/>
        </w:rPr>
      </w:pPr>
    </w:p>
    <w:p>
      <w:pPr>
        <w:ind w:left="-40" w:right="140" w:firstLine="921"/>
        <w:spacing w:after="0" w:line="308" w:lineRule="auto"/>
        <w:tabs>
          <w:tab w:leader="none" w:pos="1138" w:val="left"/>
        </w:tabs>
        <w:numPr>
          <w:ilvl w:val="1"/>
          <w:numId w:val="25"/>
        </w:numPr>
        <w:rPr>
          <w:rFonts w:ascii="Arial" w:cs="Arial" w:eastAsia="Arial" w:hAnsi="Arial"/>
          <w:sz w:val="17"/>
          <w:szCs w:val="17"/>
          <w:color w:val="auto"/>
        </w:rPr>
      </w:pPr>
      <w:r>
        <w:rPr>
          <w:rFonts w:ascii="Arial" w:cs="Arial" w:eastAsia="Arial" w:hAnsi="Arial"/>
          <w:sz w:val="17"/>
          <w:szCs w:val="17"/>
          <w:color w:val="auto"/>
        </w:rPr>
        <w:t>Each share of Stock purchased through the exercise of an Option shall be paid for in full at the time of the exercise. Each Option shall cease to be exercisable, as to any share of Stock, when the Participant purchases the share or exercises a related SAR or when the Option expires.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70" w:right="259" w:bottom="1440" w:gutter="0" w:footer="0" w:header="0"/>
        </w:sectPr>
      </w:pPr>
    </w:p>
    <w:bookmarkStart w:id="18" w:name="page19"/>
    <w:bookmarkEnd w:id="18"/>
    <w:p>
      <w:pPr>
        <w:ind w:left="-60" w:right="100" w:firstLine="921"/>
        <w:spacing w:after="0" w:line="277"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Section 12(k), Options shall not be transferable by the Participant except by will or the laws of descent and distribution and shall be exercisable during the Participant’s lifetime only by him.</w:t>
      </w:r>
    </w:p>
    <w:p>
      <w:pPr>
        <w:spacing w:after="0" w:line="62" w:lineRule="exact"/>
        <w:rPr>
          <w:rFonts w:ascii="Arial" w:cs="Arial" w:eastAsia="Arial" w:hAnsi="Arial"/>
          <w:sz w:val="18"/>
          <w:szCs w:val="18"/>
          <w:color w:val="auto"/>
        </w:rPr>
      </w:pPr>
    </w:p>
    <w:p>
      <w:pPr>
        <w:ind w:left="-60" w:right="60" w:firstLine="921"/>
        <w:spacing w:after="0" w:line="277" w:lineRule="auto"/>
        <w:tabs>
          <w:tab w:leader="none" w:pos="11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Option shall vest and become exercisable by the Participant in accordance with the vesting schedule established by the Committee and set forth in the Stock Option Agreement.</w:t>
      </w:r>
    </w:p>
    <w:p>
      <w:pPr>
        <w:spacing w:after="0" w:line="62" w:lineRule="exact"/>
        <w:rPr>
          <w:rFonts w:ascii="Arial" w:cs="Arial" w:eastAsia="Arial" w:hAnsi="Arial"/>
          <w:sz w:val="18"/>
          <w:szCs w:val="18"/>
          <w:color w:val="auto"/>
        </w:rPr>
      </w:pPr>
    </w:p>
    <w:p>
      <w:pPr>
        <w:ind w:left="-60" w:right="20" w:firstLine="921"/>
        <w:spacing w:after="0" w:line="291" w:lineRule="auto"/>
        <w:tabs>
          <w:tab w:leader="none" w:pos="1108"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 the time of any exercise of an Option, the Committee may, in its sole discretion, require a Participant to deliver to the Committee a written representation that the shares of Stock to be acquired upon such exercise are to be acquired for investment and not for resale or with a view to the distribution thereof and any other representation deemed necessary by the Committee to ensure compliance with all applicable federal and state securities laws. Upon such a request by the Committee, delivery of such representation prior to the delivery of any shares issued upon exercise of an Option shall be a condition precedent to the right of the Participant or such other person to purchase any shares. In the event certificates for Stock are delivered under the Plan with respect to which such investment representation has been obtained, the Committee may cause a legend or legends to be placed on such certificates to make appropriate reference to such representation and to restrict transfer in the absence of compliance with applicable federal or state securities laws.</w:t>
      </w:r>
    </w:p>
    <w:p>
      <w:pPr>
        <w:spacing w:after="0" w:line="59" w:lineRule="exact"/>
        <w:rPr>
          <w:rFonts w:ascii="Arial" w:cs="Arial" w:eastAsia="Arial" w:hAnsi="Arial"/>
          <w:sz w:val="16"/>
          <w:szCs w:val="16"/>
          <w:color w:val="auto"/>
        </w:rPr>
      </w:pPr>
    </w:p>
    <w:p>
      <w:pPr>
        <w:ind w:left="-60" w:right="60" w:firstLine="921"/>
        <w:spacing w:after="0" w:line="255" w:lineRule="auto"/>
        <w:tabs>
          <w:tab w:leader="none" w:pos="11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Participant awarded an Incentive Stock Option under the Plan shall notify the Company in writing immediately after the date he or she makes a disqualifying disposition of any Stock acquired pursuant to the exercise of such Incentive Stock Option. A disqualifying disposition is any disposition (including any sale) of such Stock before the later of (A) two years after the Date of Grant of the Incentive Stock Option or (B) one year after the date the Participant acquired the Stock by exercising the Incentive Stock Option. The Company may, if determined by the Committee and in accordance with procedures established by it, retain possession of any Stock acquired pursuant to the exercise of an Incentive Stock Option as agent for the applicable Participant until the end of the period described in the preceding sentence, subject to complying with any instructions from such Participant as to the sale of such Stock.</w:t>
      </w:r>
    </w:p>
    <w:p>
      <w:pPr>
        <w:spacing w:after="0" w:line="81" w:lineRule="exact"/>
        <w:rPr>
          <w:rFonts w:ascii="Arial" w:cs="Arial" w:eastAsia="Arial" w:hAnsi="Arial"/>
          <w:sz w:val="18"/>
          <w:szCs w:val="18"/>
          <w:color w:val="auto"/>
        </w:rPr>
      </w:pPr>
    </w:p>
    <w:p>
      <w:pPr>
        <w:ind w:left="-60" w:firstLine="921"/>
        <w:spacing w:after="0" w:line="255" w:lineRule="auto"/>
        <w:tabs>
          <w:tab w:leader="none" w:pos="12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Option Agreement may, but need not, include a provision whereby a Participant may elect, at any time before the termination of the Participant’s employment with the Company, to exercise the Option as to any part or all of the shares of Stock subject to the Option prior to the full vesting of the Option. Any unvested shares of Stock so purchased may be subject to a share repurchase option in favor of the Company or to any other restriction the Committee determines to be appropriate. The Company shall not exercise its repurchase option until at least six (6) months (or such longer or shorter period of time required to avoid a charge to earnings for financial accounting purposes) have elapsed following the exercise of the Option unless the Committee otherwise specifically provides in an Stock Option Agreement.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300" w:top="274" w:right="279" w:bottom="1440" w:gutter="0" w:footer="0" w:header="0"/>
        </w:sectPr>
      </w:pPr>
    </w:p>
    <w:bookmarkStart w:id="19" w:name="page20"/>
    <w:bookmarkEnd w:id="19"/>
    <w:p>
      <w:pPr>
        <w:jc w:val="both"/>
        <w:ind w:right="120" w:firstLine="464"/>
        <w:spacing w:after="0" w:line="261" w:lineRule="auto"/>
        <w:tabs>
          <w:tab w:leader="none" w:pos="681"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Incentive Stock Option Grants to 10% Stockholders</w:t>
      </w:r>
      <w:r>
        <w:rPr>
          <w:rFonts w:ascii="Arial" w:cs="Arial" w:eastAsia="Arial" w:hAnsi="Arial"/>
          <w:sz w:val="18"/>
          <w:szCs w:val="18"/>
          <w:color w:val="auto"/>
        </w:rPr>
        <w:t>. Notwithstanding anything to the contrary in this Section 7, if an Incentive Stock Option is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to a Participant who owns stock representing more than ten percent of the voting power of all classes of stock of the Company or of a Subsidiary or Parent, the Option Period shall not exceed five years from the Date of Grant of such Option and the Option Price shall be at least 110 percent of the Fair Market Value (on the Date of Grant) of the Stock subject to the Option.</w:t>
      </w:r>
    </w:p>
    <w:p>
      <w:pPr>
        <w:spacing w:after="0" w:line="71" w:lineRule="exact"/>
        <w:rPr>
          <w:rFonts w:ascii="Arial" w:cs="Arial" w:eastAsia="Arial" w:hAnsi="Arial"/>
          <w:sz w:val="18"/>
          <w:szCs w:val="18"/>
          <w:color w:val="auto"/>
        </w:rPr>
      </w:pPr>
    </w:p>
    <w:p>
      <w:pPr>
        <w:ind w:firstLine="464"/>
        <w:spacing w:after="0" w:line="266" w:lineRule="auto"/>
        <w:tabs>
          <w:tab w:leader="none" w:pos="711"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$100,000 Per Year Limitation for Incentive Stock Options</w:t>
      </w:r>
      <w:r>
        <w:rPr>
          <w:rFonts w:ascii="Arial" w:cs="Arial" w:eastAsia="Arial" w:hAnsi="Arial"/>
          <w:sz w:val="18"/>
          <w:szCs w:val="18"/>
          <w:color w:val="auto"/>
        </w:rPr>
        <w:t>. To the extent the aggregate Fair Market Value (determined as of the Date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324"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Stock Appreciation Rights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Any Option granted under the Plan may include SARs, either at the Date of Grant or, except in the case of an Incentive Stock Option, by subsequent amendment. The Committee also may award SARs to Eligible Persons independent of any Option. A SAR shall be subject to such terms and conditions not inconsistent with the Plan as the Committee shall impose, including, but not limited to, the following:</w:t>
      </w:r>
    </w:p>
    <w:p>
      <w:pPr>
        <w:spacing w:after="0" w:line="69" w:lineRule="exact"/>
        <w:rPr>
          <w:sz w:val="20"/>
          <w:szCs w:val="20"/>
          <w:color w:val="auto"/>
        </w:rPr>
      </w:pPr>
    </w:p>
    <w:p>
      <w:pPr>
        <w:ind w:right="20" w:firstLine="464"/>
        <w:spacing w:after="0" w:line="261" w:lineRule="auto"/>
        <w:tabs>
          <w:tab w:leader="none" w:pos="701"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Vesting, Transferability and Expiration</w:t>
      </w:r>
      <w:r>
        <w:rPr>
          <w:rFonts w:ascii="Arial" w:cs="Arial" w:eastAsia="Arial" w:hAnsi="Arial"/>
          <w:sz w:val="18"/>
          <w:szCs w:val="18"/>
          <w:color w:val="auto"/>
        </w:rPr>
        <w:t>. A SAR granted in connection with an Option shall become exercisable, be transferable and shall expire</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the same vesting schedule, transferability rules and expiration provisions as the corresponding Option. A SAR granted independent of an Option shall become exercisable, be transferable and shall expire in accordance with a vesting schedule, transferability rules and expiration provisions as established by the Committee and reflected in an Award Agreement.</w:t>
      </w:r>
    </w:p>
    <w:p>
      <w:pPr>
        <w:spacing w:after="0" w:line="71" w:lineRule="exact"/>
        <w:rPr>
          <w:rFonts w:ascii="Arial" w:cs="Arial" w:eastAsia="Arial" w:hAnsi="Arial"/>
          <w:sz w:val="18"/>
          <w:szCs w:val="18"/>
          <w:color w:val="auto"/>
        </w:rPr>
      </w:pPr>
    </w:p>
    <w:p>
      <w:pPr>
        <w:ind w:right="380" w:firstLine="464"/>
        <w:spacing w:after="0" w:line="303" w:lineRule="auto"/>
        <w:tabs>
          <w:tab w:leader="none" w:pos="711"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Automatic Exercise</w:t>
      </w:r>
      <w:r>
        <w:rPr>
          <w:rFonts w:ascii="Arial" w:cs="Arial" w:eastAsia="Arial" w:hAnsi="Arial"/>
          <w:sz w:val="16"/>
          <w:szCs w:val="16"/>
          <w:color w:val="auto"/>
        </w:rPr>
        <w:t>. Unless otherwise provided in the Award Agreement, if on the last day of the Option Period (or in the case of a SAR</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of an option, the period established by the Committee after which the SAR shall expire), the Fair Market Value exceeds the Strike Price, the Participant has not exercised the SAR or the corresponding Option, and neither the SAR nor the corresponding Option has expired, such SAR shall be deemed to have been exercised by the Participant on such last day and the Company shall make the appropriate payment therefor.</w:t>
      </w:r>
    </w:p>
    <w:p>
      <w:pPr>
        <w:spacing w:after="0" w:line="43" w:lineRule="exact"/>
        <w:rPr>
          <w:rFonts w:ascii="Arial" w:cs="Arial" w:eastAsia="Arial" w:hAnsi="Arial"/>
          <w:sz w:val="16"/>
          <w:szCs w:val="16"/>
          <w:color w:val="auto"/>
        </w:rPr>
      </w:pPr>
    </w:p>
    <w:p>
      <w:pPr>
        <w:ind w:right="20" w:firstLine="464"/>
        <w:spacing w:after="0" w:line="281" w:lineRule="auto"/>
        <w:tabs>
          <w:tab w:leader="none" w:pos="701"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Payment</w:t>
      </w:r>
      <w:r>
        <w:rPr>
          <w:rFonts w:ascii="Arial" w:cs="Arial" w:eastAsia="Arial" w:hAnsi="Arial"/>
          <w:sz w:val="17"/>
          <w:szCs w:val="17"/>
          <w:color w:val="auto"/>
        </w:rPr>
        <w:t>. Upon the exercise of a SAR, the Company shall pay to the Participant an amount equal to the number of shares subject to the SAR</w:t>
      </w:r>
      <w:r>
        <w:rPr>
          <w:rFonts w:ascii="Arial" w:cs="Arial" w:eastAsia="Arial" w:hAnsi="Arial"/>
          <w:sz w:val="17"/>
          <w:szCs w:val="17"/>
          <w:b w:val="1"/>
          <w:bCs w:val="1"/>
          <w:color w:val="auto"/>
        </w:rPr>
        <w:t xml:space="preserve"> </w:t>
      </w:r>
      <w:r>
        <w:rPr>
          <w:rFonts w:ascii="Arial" w:cs="Arial" w:eastAsia="Arial" w:hAnsi="Arial"/>
          <w:sz w:val="17"/>
          <w:szCs w:val="17"/>
          <w:color w:val="auto"/>
        </w:rPr>
        <w:t>multiplied by the excess, if any, of the Fair Market Value of one share of Stock on the exercise date over the Strike Price. The Company shall pay such excess in cash (taking into consideration any adverse tax consequences to the Participant under Section 409A of the Code), in shares of Stock valued at Fair Market Value, or any combination thereof, as determined by the Committee. Fractional shares shall be settled in cash.</w:t>
      </w:r>
    </w:p>
    <w:p>
      <w:pPr>
        <w:spacing w:after="0" w:line="56" w:lineRule="exact"/>
        <w:rPr>
          <w:rFonts w:ascii="Arial" w:cs="Arial" w:eastAsia="Arial" w:hAnsi="Arial"/>
          <w:sz w:val="17"/>
          <w:szCs w:val="17"/>
          <w:color w:val="auto"/>
        </w:rPr>
      </w:pPr>
    </w:p>
    <w:p>
      <w:pPr>
        <w:ind w:right="40" w:firstLine="464"/>
        <w:spacing w:after="0" w:line="266"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Method of Exercise</w:t>
      </w:r>
      <w:r>
        <w:rPr>
          <w:rFonts w:ascii="Arial" w:cs="Arial" w:eastAsia="Arial" w:hAnsi="Arial"/>
          <w:sz w:val="18"/>
          <w:szCs w:val="18"/>
          <w:color w:val="auto"/>
        </w:rPr>
        <w:t>. A Participant may exercise a SAR at such time or times as may be determined by the Committee at the time of grant by filing</w:t>
      </w:r>
      <w:r>
        <w:rPr>
          <w:rFonts w:ascii="Arial" w:cs="Arial" w:eastAsia="Arial" w:hAnsi="Arial"/>
          <w:sz w:val="18"/>
          <w:szCs w:val="18"/>
          <w:b w:val="1"/>
          <w:bCs w:val="1"/>
          <w:color w:val="auto"/>
        </w:rPr>
        <w:t xml:space="preserve"> </w:t>
      </w:r>
      <w:r>
        <w:rPr>
          <w:rFonts w:ascii="Arial" w:cs="Arial" w:eastAsia="Arial" w:hAnsi="Arial"/>
          <w:sz w:val="18"/>
          <w:szCs w:val="18"/>
          <w:color w:val="auto"/>
        </w:rPr>
        <w:t>an irrevocable written notice with the Committee or its designee, specifying the number of SARs to be exercised, and the date on which such SARs were awarded.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0" w:right="279" w:bottom="1440" w:gutter="0" w:footer="0" w:header="0"/>
        </w:sectPr>
      </w:pPr>
    </w:p>
    <w:bookmarkStart w:id="20" w:name="page21"/>
    <w:bookmarkEnd w:id="20"/>
    <w:p>
      <w:pPr>
        <w:ind w:right="160" w:firstLine="464"/>
        <w:spacing w:after="0" w:line="282" w:lineRule="auto"/>
        <w:tabs>
          <w:tab w:leader="none" w:pos="701"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Expiration</w:t>
      </w:r>
      <w:r>
        <w:rPr>
          <w:rFonts w:ascii="Arial" w:cs="Arial" w:eastAsia="Arial" w:hAnsi="Arial"/>
          <w:sz w:val="18"/>
          <w:szCs w:val="18"/>
          <w:color w:val="auto"/>
        </w:rPr>
        <w:t>. Except as otherwise provided in the case of SARs granted in connection with Options, a SAR shall expire on a date designated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which is not later than ten years after the Date of Grant of the SAR.</w:t>
      </w:r>
    </w:p>
    <w:p>
      <w:pPr>
        <w:spacing w:after="0" w:line="53" w:lineRule="exact"/>
        <w:rPr>
          <w:rFonts w:ascii="Arial" w:cs="Arial" w:eastAsia="Arial" w:hAnsi="Arial"/>
          <w:sz w:val="18"/>
          <w:szCs w:val="18"/>
          <w:color w:val="auto"/>
        </w:rPr>
      </w:pPr>
    </w:p>
    <w:p>
      <w:pPr>
        <w:ind w:right="540" w:firstLine="464"/>
        <w:spacing w:after="0" w:line="282" w:lineRule="auto"/>
        <w:tabs>
          <w:tab w:leader="none" w:pos="681"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Tax Considerations</w:t>
      </w:r>
      <w:r>
        <w:rPr>
          <w:rFonts w:ascii="Arial" w:cs="Arial" w:eastAsia="Arial" w:hAnsi="Arial"/>
          <w:sz w:val="18"/>
          <w:szCs w:val="18"/>
          <w:color w:val="auto"/>
        </w:rPr>
        <w:t>. The Committee shall take into account Section 409A of the Code and applicable regulatory guidance thereunder before</w:t>
      </w:r>
      <w:r>
        <w:rPr>
          <w:rFonts w:ascii="Arial" w:cs="Arial" w:eastAsia="Arial" w:hAnsi="Arial"/>
          <w:sz w:val="18"/>
          <w:szCs w:val="18"/>
          <w:b w:val="1"/>
          <w:bCs w:val="1"/>
          <w:color w:val="auto"/>
        </w:rPr>
        <w:t xml:space="preserve"> </w:t>
      </w:r>
      <w:r>
        <w:rPr>
          <w:rFonts w:ascii="Arial" w:cs="Arial" w:eastAsia="Arial" w:hAnsi="Arial"/>
          <w:sz w:val="18"/>
          <w:szCs w:val="18"/>
          <w:color w:val="auto"/>
        </w:rPr>
        <w:t>granting a SAR.</w:t>
      </w:r>
    </w:p>
    <w:p>
      <w:pPr>
        <w:spacing w:after="0" w:line="31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b w:val="1"/>
          <w:bCs w:val="1"/>
          <w:color w:val="auto"/>
        </w:rPr>
        <w:t>Award of Restricted Stock and Restricted Stock Units.</w:t>
      </w:r>
    </w:p>
    <w:p>
      <w:pPr>
        <w:spacing w:after="0" w:line="121" w:lineRule="exact"/>
        <w:rPr>
          <w:rFonts w:ascii="Arial" w:cs="Arial" w:eastAsia="Arial" w:hAnsi="Arial"/>
          <w:sz w:val="18"/>
          <w:szCs w:val="18"/>
          <w:color w:val="auto"/>
        </w:rPr>
      </w:pPr>
    </w:p>
    <w:p>
      <w:pPr>
        <w:ind w:right="140" w:firstLine="921"/>
        <w:spacing w:after="0" w:line="279" w:lineRule="auto"/>
        <w:tabs>
          <w:tab w:leader="none" w:pos="1128" w:val="left"/>
        </w:tabs>
        <w:numPr>
          <w:ilvl w:val="2"/>
          <w:numId w:val="31"/>
        </w:numPr>
        <w:rPr>
          <w:rFonts w:ascii="Arial" w:cs="Arial" w:eastAsia="Arial" w:hAnsi="Arial"/>
          <w:sz w:val="17"/>
          <w:szCs w:val="17"/>
          <w:color w:val="auto"/>
        </w:rPr>
      </w:pPr>
      <w:r>
        <w:rPr>
          <w:rFonts w:ascii="Arial" w:cs="Arial" w:eastAsia="Arial" w:hAnsi="Arial"/>
          <w:sz w:val="17"/>
          <w:szCs w:val="17"/>
          <w:color w:val="auto"/>
        </w:rPr>
        <w:t>The Committee shall have the authority (A) to grant Restricted Stock and Restricted Stock Units to Eligible Persons, (B) to issue or transfer Restricted Stock to Participants, and (C) to establish terms, conditions and restrictions applicable to such Restricted Stock and Restricted Stock Units, including the Restricted Period, as applicable, which may differ with respect to each grantee, the time or times at which Restricted Stock or Restricted Stock Units shall be granted or become vested and the number of shares or units to be covered by each grant.</w:t>
      </w:r>
    </w:p>
    <w:p>
      <w:pPr>
        <w:spacing w:after="0" w:line="63" w:lineRule="exact"/>
        <w:rPr>
          <w:rFonts w:ascii="Arial" w:cs="Arial" w:eastAsia="Arial" w:hAnsi="Arial"/>
          <w:sz w:val="17"/>
          <w:szCs w:val="17"/>
          <w:color w:val="auto"/>
        </w:rPr>
      </w:pPr>
    </w:p>
    <w:p>
      <w:pPr>
        <w:ind w:firstLine="921"/>
        <w:spacing w:after="0" w:line="284" w:lineRule="auto"/>
        <w:tabs>
          <w:tab w:leader="none" w:pos="1178" w:val="left"/>
        </w:tabs>
        <w:numPr>
          <w:ilvl w:val="2"/>
          <w:numId w:val="31"/>
        </w:numPr>
        <w:rPr>
          <w:rFonts w:ascii="Arial" w:cs="Arial" w:eastAsia="Arial" w:hAnsi="Arial"/>
          <w:sz w:val="16"/>
          <w:szCs w:val="16"/>
          <w:color w:val="auto"/>
        </w:rPr>
      </w:pPr>
      <w:r>
        <w:rPr>
          <w:rFonts w:ascii="Arial" w:cs="Arial" w:eastAsia="Arial" w:hAnsi="Arial"/>
          <w:sz w:val="16"/>
          <w:szCs w:val="16"/>
          <w:color w:val="auto"/>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shall fail to execute an agreement evidencing an Award of Restricted Stock and, if applicable, an escrow agreement and stock power, the Award shall be null and void. Subject to the restrictions set forth in</w:t>
      </w:r>
    </w:p>
    <w:p>
      <w:pPr>
        <w:spacing w:after="0" w:line="4"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Section 9(b), the Participant generally shall have the rights and privileges of a stockholder as to such Restricted Stock, including the right to vote such Restricted Stock. Cash dividends and stock dividends with respect to the Restricted Stock shall be withheld by the Company for the Participant’s account, and interest may be credited on the amount of cash dividends withheld at a rate and subject to such terms as determined by the Committee or such dividends may be reinvested in the form of additional Restricted Stock, subject to the same conditions and restrictions as the Restricted Stock to which the dividends relate. The cash dividends or stock dividends so withheld by the Committee and attributable to any particular share of Restricted Stock (and earnings thereon, if applicable) shall be distributed to the Participant in cash or, at the discretion of the Committee, in shares of Stock having a Fair Market Value equal to the amount of such dividends and earnings, if applicable, upon the release of restrictions on such share and, if such share is forfeited, the Participant shall have no right to such cash dividends, stock dividends or earnings.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0" w:right="259" w:bottom="1440" w:gutter="0" w:footer="0" w:header="0"/>
        </w:sectPr>
      </w:pPr>
    </w:p>
    <w:bookmarkStart w:id="21" w:name="page22"/>
    <w:bookmarkEnd w:id="21"/>
    <w:p>
      <w:pPr>
        <w:ind w:left="-20" w:right="40" w:firstLine="921"/>
        <w:spacing w:after="0" w:line="259" w:lineRule="auto"/>
        <w:tabs>
          <w:tab w:leader="none" w:pos="1208" w:val="left"/>
        </w:tabs>
        <w:numPr>
          <w:ilvl w:val="1"/>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grant of Restricted Stock, the Committee shall cause a stock certificate registered in the name of the Participant to be issued and, if it so determines, deposited together with the stock powers with an escrow agent designated by the Committee. If an escrow arrangement is used, the Committee may cause the escrow agent to issue to the Participant a receipt evidencing any stock certificate held by it, registered in the name of the Participant.</w:t>
      </w:r>
    </w:p>
    <w:p>
      <w:pPr>
        <w:spacing w:after="0" w:line="78" w:lineRule="exact"/>
        <w:rPr>
          <w:rFonts w:ascii="Arial" w:cs="Arial" w:eastAsia="Arial" w:hAnsi="Arial"/>
          <w:sz w:val="18"/>
          <w:szCs w:val="18"/>
          <w:color w:val="auto"/>
        </w:rPr>
      </w:pPr>
    </w:p>
    <w:p>
      <w:pPr>
        <w:ind w:left="-20" w:right="20" w:firstLine="921"/>
        <w:spacing w:after="0" w:line="288" w:lineRule="auto"/>
        <w:tabs>
          <w:tab w:leader="none" w:pos="1198"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terms and conditions of a grant of Restricted Stock Units shall be reflected in a written Award Agreement. No shares of Stock shall be issued at the time a Restricted Stock Unit is granted, and the Company will not be required to set aside a fund for the payment of any such Award. At the discretion of the Committee, each Restricted Stock Unit (representing one share of Stock) may be credited with cash and stock dividends paid by the Company in respect of one share of Stock (“</w:t>
      </w:r>
      <w:r>
        <w:rPr>
          <w:rFonts w:ascii="Arial" w:cs="Arial" w:eastAsia="Arial" w:hAnsi="Arial"/>
          <w:sz w:val="16"/>
          <w:szCs w:val="16"/>
          <w:u w:val="single" w:color="auto"/>
          <w:color w:val="auto"/>
        </w:rPr>
        <w:t>Dividend Equivalents</w:t>
      </w:r>
      <w:r>
        <w:rPr>
          <w:rFonts w:ascii="Arial" w:cs="Arial" w:eastAsia="Arial" w:hAnsi="Arial"/>
          <w:sz w:val="16"/>
          <w:szCs w:val="16"/>
          <w:color w:val="auto"/>
        </w:rPr>
        <w:t>”). Dividend Equivalents shall be withheld by the Company for the Participant’s account, and interest may be credited on the amount of cash Dividend Equivalents withheld at a rate and subject to such terms as determined by the Committee or such Dividend Equivalents may be reinvested in the form of additional Restricted Stock Units, subject to the same conditions and restrictions as the Restricted Stock Units to which the Dividend Equivalents relate. Dividend Equivalents credited to a Participant’s account and attributable to any particular Restricted Stock Unit (and earnings thereon, if applicable) shall be distributed in cash or, at the discretion of the Committee, in shares of Stock having a Fair Market Value equal to the amount of such Dividend Equivalents and earnings, if applicable, to the Participant upon settlement of such Restricted Stock Unit and, if such Restricted Stock Unit is forfeited, the Participant shall have no right to such Dividends Equivalents.</w:t>
      </w:r>
    </w:p>
    <w:p>
      <w:pPr>
        <w:spacing w:after="0" w:line="57" w:lineRule="exact"/>
        <w:rPr>
          <w:rFonts w:ascii="Arial" w:cs="Arial" w:eastAsia="Arial" w:hAnsi="Arial"/>
          <w:sz w:val="16"/>
          <w:szCs w:val="16"/>
          <w:color w:val="auto"/>
        </w:rPr>
      </w:pPr>
    </w:p>
    <w:p>
      <w:pPr>
        <w:ind w:left="700" w:hanging="2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Restrictions.</w:t>
      </w:r>
    </w:p>
    <w:p>
      <w:pPr>
        <w:spacing w:after="0" w:line="121" w:lineRule="exact"/>
        <w:rPr>
          <w:rFonts w:ascii="Arial" w:cs="Arial" w:eastAsia="Arial" w:hAnsi="Arial"/>
          <w:sz w:val="18"/>
          <w:szCs w:val="18"/>
          <w:color w:val="auto"/>
        </w:rPr>
      </w:pPr>
    </w:p>
    <w:p>
      <w:pPr>
        <w:ind w:left="-20" w:firstLine="921"/>
        <w:spacing w:after="0" w:line="255" w:lineRule="auto"/>
        <w:tabs>
          <w:tab w:leader="none" w:pos="1108"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Section 9(c) and the applicable Award Agreement; and (D) to the extent such shares are forfeited, the stock certificates shall be returned to the Company, and all rights of the Participant to such shares and as a stockholder with respect to such shares shall terminate without further obligation on the part of the Company.</w:t>
      </w:r>
    </w:p>
    <w:p>
      <w:pPr>
        <w:spacing w:after="0" w:line="85" w:lineRule="exact"/>
        <w:rPr>
          <w:rFonts w:ascii="Arial" w:cs="Arial" w:eastAsia="Arial" w:hAnsi="Arial"/>
          <w:sz w:val="18"/>
          <w:szCs w:val="18"/>
          <w:color w:val="auto"/>
        </w:rPr>
      </w:pPr>
    </w:p>
    <w:p>
      <w:pPr>
        <w:ind w:left="-20" w:right="320" w:firstLine="921"/>
        <w:spacing w:after="0" w:line="279" w:lineRule="auto"/>
        <w:tabs>
          <w:tab w:leader="none" w:pos="1158" w:val="left"/>
        </w:tabs>
        <w:numPr>
          <w:ilvl w:val="1"/>
          <w:numId w:val="33"/>
        </w:numPr>
        <w:rPr>
          <w:rFonts w:ascii="Arial" w:cs="Arial" w:eastAsia="Arial" w:hAnsi="Arial"/>
          <w:sz w:val="17"/>
          <w:szCs w:val="17"/>
          <w:color w:val="auto"/>
        </w:rPr>
      </w:pPr>
      <w:r>
        <w:rPr>
          <w:rFonts w:ascii="Arial" w:cs="Arial" w:eastAsia="Arial" w:hAnsi="Arial"/>
          <w:sz w:val="17"/>
          <w:szCs w:val="17"/>
          <w:color w:val="auto"/>
        </w:rPr>
        <w:t>Restricted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are forfeited, all rights of the Participant to such Restricted Stock Units shall terminate without further obligation on the part of the Company and (B) such other terms and conditions as may be set forth in the applicable Award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22" w:name="page23"/>
    <w:bookmarkEnd w:id="22"/>
    <w:p>
      <w:pPr>
        <w:ind w:right="100" w:firstLine="921"/>
        <w:spacing w:after="0" w:line="264" w:lineRule="auto"/>
        <w:tabs>
          <w:tab w:leader="none" w:pos="1228" w:val="left"/>
        </w:tabs>
        <w:numPr>
          <w:ilvl w:val="1"/>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Committee shall have the authority to remove any or all of the restrictions on the Restricted Stock and Restricted Stock Units whenever it may determine that, by reason of changes in applicable laws or other changes in circumstances arising after the date of the Restricted Stock or Restricted Stock Units are granted, such action is appropriate.</w:t>
      </w:r>
    </w:p>
    <w:p>
      <w:pPr>
        <w:spacing w:after="0" w:line="69" w:lineRule="exact"/>
        <w:rPr>
          <w:rFonts w:ascii="Arial" w:cs="Arial" w:eastAsia="Arial" w:hAnsi="Arial"/>
          <w:sz w:val="18"/>
          <w:szCs w:val="18"/>
          <w:color w:val="auto"/>
        </w:rPr>
      </w:pPr>
    </w:p>
    <w:p>
      <w:pPr>
        <w:ind w:right="40" w:firstLine="464"/>
        <w:spacing w:after="0" w:line="282" w:lineRule="auto"/>
        <w:tabs>
          <w:tab w:leader="none" w:pos="701"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Restricted Period</w:t>
      </w:r>
      <w:r>
        <w:rPr>
          <w:rFonts w:ascii="Arial" w:cs="Arial" w:eastAsia="Arial" w:hAnsi="Arial"/>
          <w:sz w:val="18"/>
          <w:szCs w:val="18"/>
          <w:color w:val="auto"/>
        </w:rPr>
        <w:t>. With respect to Restricted Stock and Restricted Stock Units, the Restricted Period shall commence on the Date of Grant and end</w:t>
      </w:r>
      <w:r>
        <w:rPr>
          <w:rFonts w:ascii="Arial" w:cs="Arial" w:eastAsia="Arial" w:hAnsi="Arial"/>
          <w:sz w:val="18"/>
          <w:szCs w:val="18"/>
          <w:b w:val="1"/>
          <w:bCs w:val="1"/>
          <w:color w:val="auto"/>
        </w:rPr>
        <w:t xml:space="preserve"> </w:t>
      </w:r>
      <w:r>
        <w:rPr>
          <w:rFonts w:ascii="Arial" w:cs="Arial" w:eastAsia="Arial" w:hAnsi="Arial"/>
          <w:sz w:val="18"/>
          <w:szCs w:val="18"/>
          <w:color w:val="auto"/>
        </w:rPr>
        <w:t>at the time or times set forth on a schedule established by the Committee in the applicable Award Agreement.</w:t>
      </w:r>
    </w:p>
    <w:p>
      <w:pPr>
        <w:spacing w:after="0" w:line="53" w:lineRule="exact"/>
        <w:rPr>
          <w:rFonts w:ascii="Arial" w:cs="Arial" w:eastAsia="Arial" w:hAnsi="Arial"/>
          <w:sz w:val="18"/>
          <w:szCs w:val="18"/>
          <w:color w:val="auto"/>
        </w:rPr>
      </w:pPr>
    </w:p>
    <w:p>
      <w:pPr>
        <w:ind w:firstLine="464"/>
        <w:spacing w:after="0" w:line="274" w:lineRule="auto"/>
        <w:tabs>
          <w:tab w:leader="none" w:pos="711"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Delivery of Restricted Stock and Settlement of Restricted Stock Units</w:t>
      </w:r>
      <w:r>
        <w:rPr>
          <w:rFonts w:ascii="Arial" w:cs="Arial" w:eastAsia="Arial" w:hAnsi="Arial"/>
          <w:sz w:val="17"/>
          <w:szCs w:val="17"/>
          <w:color w:val="auto"/>
        </w:rPr>
        <w:t>. Upon the expiration of the Restricted Period with respect to any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the restrictions set forth in Section 9(b) and the applicable Award Agreement shall be of no further force or effect with respect to such shares, except as set forth in the applicable Award Agreement. If an escrow arrangement is used, upon such expiration, the Company shall deliver to the Participant, or his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w:t>
      </w:r>
    </w:p>
    <w:p>
      <w:pPr>
        <w:spacing w:after="0" w:line="17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Subject to the applicable Award Agreement, upon the expiration of the Restricted Period with respect to any outstanding Restricted Stock Units, the Company shall deliver to the Participant, or his beneficiary, without charge, one share of Stock for each such outstanding Restricted Stock Unit (“</w:t>
      </w:r>
      <w:r>
        <w:rPr>
          <w:rFonts w:ascii="Arial" w:cs="Arial" w:eastAsia="Arial" w:hAnsi="Arial"/>
          <w:sz w:val="17"/>
          <w:szCs w:val="17"/>
          <w:u w:val="single" w:color="auto"/>
          <w:color w:val="auto"/>
        </w:rPr>
        <w:t>Vested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Unit</w:t>
      </w:r>
      <w:r>
        <w:rPr>
          <w:rFonts w:ascii="Arial" w:cs="Arial" w:eastAsia="Arial" w:hAnsi="Arial"/>
          <w:sz w:val="17"/>
          <w:szCs w:val="17"/>
          <w:color w:val="auto"/>
        </w:rPr>
        <w:t>”) and cash equal to any Dividend Equivalents credited with respect to each such Vested Unit in accordance with Section 9(a)(iv) hereof and the interest thereon or, at the discretion of the Committee, in shares of Stock having a Fair Market Value equal to such Dividend Equivalents and interest thereon, if any; provided, however, that, the Committee may, in its sole discretion, elect to (i) pay cash or part cash and part Stock in lieu of delivering only shares of Stock for Vested Units or (ii) delay the delivery of Stock (or cash or part Stock and part cash, as the case may be) beyond the expiration of the Restricted Period. If a cash payment is made in lieu of delivering shares of Stock, the amount of such payment shall be equal to the Fair Market Value of the Stock as of the date on which the Restricted Period lapsed with respect to such Vested Unit.</w:t>
      </w:r>
    </w:p>
    <w:p>
      <w:pPr>
        <w:spacing w:after="0" w:line="67" w:lineRule="exact"/>
        <w:rPr>
          <w:sz w:val="20"/>
          <w:szCs w:val="20"/>
          <w:color w:val="auto"/>
        </w:rPr>
      </w:pPr>
    </w:p>
    <w:p>
      <w:pPr>
        <w:ind w:right="540" w:firstLine="464"/>
        <w:spacing w:after="0" w:line="347" w:lineRule="auto"/>
        <w:tabs>
          <w:tab w:leader="none" w:pos="701"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Stock Restrictions</w:t>
      </w:r>
      <w:r>
        <w:rPr>
          <w:rFonts w:ascii="Arial" w:cs="Arial" w:eastAsia="Arial" w:hAnsi="Arial"/>
          <w:sz w:val="16"/>
          <w:szCs w:val="16"/>
          <w:color w:val="auto"/>
        </w:rPr>
        <w:t>. Each certificate representing Restricted Stock awarded under the Plan shall bear a legend substantially in the form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until the lapse of all restrictions with respect to such Stock as well as any other information the Company deems appropriate:</w:t>
      </w:r>
    </w:p>
    <w:p>
      <w:pPr>
        <w:spacing w:after="0" w:line="12"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Transfer of this certificate and the shares represented hereby is restricted pursuant to the terms of the ExlService Holdings, Inc. 2015</w:t>
      </w:r>
    </w:p>
    <w:p>
      <w:pPr>
        <w:spacing w:after="0" w:line="35" w:lineRule="exact"/>
        <w:rPr>
          <w:sz w:val="20"/>
          <w:szCs w:val="20"/>
          <w:color w:val="auto"/>
        </w:rPr>
      </w:pPr>
    </w:p>
    <w:p>
      <w:pPr>
        <w:ind w:left="920" w:right="380"/>
        <w:spacing w:after="0" w:line="261" w:lineRule="auto"/>
        <w:rPr>
          <w:sz w:val="20"/>
          <w:szCs w:val="20"/>
          <w:color w:val="auto"/>
        </w:rPr>
      </w:pPr>
      <w:r>
        <w:rPr>
          <w:rFonts w:ascii="Arial" w:cs="Arial" w:eastAsia="Arial" w:hAnsi="Arial"/>
          <w:sz w:val="18"/>
          <w:szCs w:val="18"/>
          <w:color w:val="auto"/>
        </w:rPr>
        <w:t>Amendment and Restatement of the 2006 Omnibus Award Plan and a Restricted Stock Award Agreement, dated as of , between ExlService Holdings, Inc. and . A copy of such Plan and Agreement is on file at the offices of ExlService Holdings, Inc.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Stop transfer orders shall be entered with the Company’s transfer agent and registrar against the transfer of legended securities.</w:t>
      </w:r>
    </w:p>
    <w:p>
      <w:pPr>
        <w:spacing w:after="0" w:line="37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Stock Bonus Awards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Committee may issue unrestricted Stock, or other Awards denominated in Stock, including and without limitation, fully-vested deferred stock units, under the Plan to Eligible Persons, alone or in tandem with other Awards, in such amounts and subject to such terms and conditions as the Committee shall from time to time in its sole discretion determine. A Stock Bonus Award under the Plan shall be granted as, or in payment of, a bonus, or to provide incentives or recognize special achievements or contributions.</w:t>
      </w:r>
    </w:p>
    <w:p>
      <w:pPr>
        <w:spacing w:after="0" w:line="33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Performance Compensation Awards</w:t>
      </w:r>
    </w:p>
    <w:p>
      <w:pPr>
        <w:spacing w:after="0" w:line="117" w:lineRule="exact"/>
        <w:rPr>
          <w:rFonts w:ascii="Arial" w:cs="Arial" w:eastAsia="Arial" w:hAnsi="Arial"/>
          <w:sz w:val="18"/>
          <w:szCs w:val="18"/>
          <w:color w:val="auto"/>
        </w:rPr>
      </w:pPr>
    </w:p>
    <w:p>
      <w:pPr>
        <w:ind w:firstLine="464"/>
        <w:spacing w:after="0" w:line="281" w:lineRule="auto"/>
        <w:tabs>
          <w:tab w:leader="none" w:pos="701" w:val="left"/>
        </w:tabs>
        <w:numPr>
          <w:ilvl w:val="1"/>
          <w:numId w:val="38"/>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The Committee shall have the authority, at the time of grant of any Award described in Sections 9 and 10, to designate such Award as a</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Compensation Award in order to qualify such Award as “performance-based compensation” under Section 162(m) of the Code. In addition, the Committee shall have the authority to make an award of a cash bonus to any Participant and designate such Award as a Performance Compensation Award in order to qualify such Award as “performance-based compensation” under Section 162(m).</w:t>
      </w:r>
    </w:p>
    <w:p>
      <w:pPr>
        <w:spacing w:after="0" w:line="56" w:lineRule="exact"/>
        <w:rPr>
          <w:rFonts w:ascii="Arial" w:cs="Arial" w:eastAsia="Arial" w:hAnsi="Arial"/>
          <w:sz w:val="17"/>
          <w:szCs w:val="17"/>
          <w:color w:val="auto"/>
        </w:rPr>
      </w:pPr>
    </w:p>
    <w:p>
      <w:pPr>
        <w:ind w:firstLine="464"/>
        <w:spacing w:after="0" w:line="271" w:lineRule="auto"/>
        <w:tabs>
          <w:tab w:leader="none" w:pos="711" w:val="left"/>
        </w:tabs>
        <w:numPr>
          <w:ilvl w:val="1"/>
          <w:numId w:val="38"/>
        </w:numPr>
        <w:rPr>
          <w:rFonts w:ascii="Arial" w:cs="Arial" w:eastAsia="Arial" w:hAnsi="Arial"/>
          <w:sz w:val="17"/>
          <w:szCs w:val="17"/>
          <w:color w:val="auto"/>
        </w:rPr>
      </w:pPr>
      <w:r>
        <w:rPr>
          <w:rFonts w:ascii="Arial" w:cs="Arial" w:eastAsia="Arial" w:hAnsi="Arial"/>
          <w:sz w:val="17"/>
          <w:szCs w:val="17"/>
          <w:b w:val="1"/>
          <w:bCs w:val="1"/>
          <w:color w:val="auto"/>
        </w:rPr>
        <w:t>Eligibility</w:t>
      </w:r>
      <w:r>
        <w:rPr>
          <w:rFonts w:ascii="Arial" w:cs="Arial" w:eastAsia="Arial" w:hAnsi="Arial"/>
          <w:sz w:val="17"/>
          <w:szCs w:val="17"/>
          <w:color w:val="auto"/>
        </w:rPr>
        <w:t>. The Committee will, in its sole discretion, designate within the first 90 days of a Performance Period (or, if longer or shorter,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maximum period allowed under Section 162(m) of the Code) which Participants will be eligible to receive Performance Compensation Awards in respect of such Performance Period. However, designation of a Participant eligible to receive an Award hereunder for a Performance Period shall not in any manner entitle the Participant to receive payment in respect of any Performance Compensation Award for such Performance Period. The determination as to whether or not such Participant becomes entitled to payment in respect of any Performance Compensation Award shall be decided solely in accordance with the provisions of this Section 11. Moreover, designation of a Participant eligible to receive an Award hereunder for a particular Performance Period shall not require designation of such Participant eligible to receive an Award hereunder in any subsequent Performance Period and designation of one person as a Participant eligible to receive an Award hereunder shall not require designation of any other person as a Participant eligible to receive an Award hereunder in such period or in any other period.</w:t>
      </w:r>
    </w:p>
    <w:p>
      <w:pPr>
        <w:spacing w:after="0" w:line="66" w:lineRule="exact"/>
        <w:rPr>
          <w:rFonts w:ascii="Arial" w:cs="Arial" w:eastAsia="Arial" w:hAnsi="Arial"/>
          <w:sz w:val="17"/>
          <w:szCs w:val="17"/>
          <w:color w:val="auto"/>
        </w:rPr>
      </w:pPr>
    </w:p>
    <w:p>
      <w:pPr>
        <w:ind w:right="60" w:firstLine="464"/>
        <w:spacing w:after="0" w:line="282" w:lineRule="auto"/>
        <w:tabs>
          <w:tab w:leader="none" w:pos="701"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Discretion of Committee with Respect to Performance Compensation Awards</w:t>
      </w:r>
      <w:r>
        <w:rPr>
          <w:rFonts w:ascii="Arial" w:cs="Arial" w:eastAsia="Arial" w:hAnsi="Arial"/>
          <w:sz w:val="18"/>
          <w:szCs w:val="18"/>
          <w:color w:val="auto"/>
        </w:rPr>
        <w:t>. With regard to a particular Performance Period,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full discretion to select the length of such Performance Period (provided any such</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4" w:right="339" w:bottom="1440" w:gutter="0" w:footer="0" w:header="0"/>
        </w:sectPr>
      </w:pPr>
    </w:p>
    <w:bookmarkStart w:id="24" w:name="page25"/>
    <w:bookmarkEnd w:id="24"/>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Period shall be not less than one (1) year in duration), the type(s) of Performance Compensation Awards to be issued, the Performance Criteria that will be used to establish the Performance Goal(s), the kind(s) and/or level(s) of the Performance Goals(s) that is(are) to apply to the Company and the Performance Formula. Within the first 90 days of a Performance Period (or, if longer or shorter, within the maximum period allowed under Section 162(m) of the Code), the Committee shall, with regard to the Performance Compensation Awards to be issued for such Performance Period, exercise its discretion with respect to each of the matters enumerated in the immediately preceding sentence of this Section 11(c) and record the same in writing.</w:t>
      </w:r>
    </w:p>
    <w:p>
      <w:pPr>
        <w:spacing w:after="0" w:line="46" w:lineRule="exact"/>
        <w:rPr>
          <w:sz w:val="20"/>
          <w:szCs w:val="20"/>
          <w:color w:val="auto"/>
        </w:rPr>
      </w:pPr>
    </w:p>
    <w:p>
      <w:pPr>
        <w:ind w:left="720" w:hanging="256"/>
        <w:spacing w:after="0"/>
        <w:tabs>
          <w:tab w:leader="none" w:pos="720"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Payment of Performance Compensation Awards.</w:t>
      </w:r>
    </w:p>
    <w:p>
      <w:pPr>
        <w:spacing w:after="0" w:line="117" w:lineRule="exact"/>
        <w:rPr>
          <w:rFonts w:ascii="Arial" w:cs="Arial" w:eastAsia="Arial" w:hAnsi="Arial"/>
          <w:sz w:val="18"/>
          <w:szCs w:val="18"/>
          <w:color w:val="auto"/>
        </w:rPr>
      </w:pPr>
    </w:p>
    <w:p>
      <w:pPr>
        <w:ind w:right="80" w:firstLine="921"/>
        <w:spacing w:after="0" w:line="347" w:lineRule="auto"/>
        <w:tabs>
          <w:tab w:leader="none" w:pos="1128" w:val="left"/>
        </w:tabs>
        <w:numPr>
          <w:ilvl w:val="2"/>
          <w:numId w:val="39"/>
        </w:numPr>
        <w:rPr>
          <w:rFonts w:ascii="Arial" w:cs="Arial" w:eastAsia="Arial" w:hAnsi="Arial"/>
          <w:sz w:val="16"/>
          <w:szCs w:val="16"/>
          <w:color w:val="auto"/>
        </w:rPr>
      </w:pPr>
      <w:r>
        <w:rPr>
          <w:rFonts w:ascii="Arial" w:cs="Arial" w:eastAsia="Arial" w:hAnsi="Arial"/>
          <w:sz w:val="16"/>
          <w:szCs w:val="16"/>
          <w:b w:val="1"/>
          <w:bCs w:val="1"/>
          <w:color w:val="auto"/>
        </w:rPr>
        <w:t>Condition to Receipt of Payment</w:t>
      </w:r>
      <w:r>
        <w:rPr>
          <w:rFonts w:ascii="Arial" w:cs="Arial" w:eastAsia="Arial" w:hAnsi="Arial"/>
          <w:sz w:val="16"/>
          <w:szCs w:val="16"/>
          <w:color w:val="auto"/>
        </w:rPr>
        <w:t>. Unless otherwise provided in the applicable Award Agreement, a Participant must be employed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on the last day of a Performance Period to be eligible for payment in respect of a Performance Compensation Award for such Performance Period.</w:t>
      </w:r>
    </w:p>
    <w:p>
      <w:pPr>
        <w:spacing w:after="0" w:line="8" w:lineRule="exact"/>
        <w:rPr>
          <w:rFonts w:ascii="Arial" w:cs="Arial" w:eastAsia="Arial" w:hAnsi="Arial"/>
          <w:sz w:val="16"/>
          <w:szCs w:val="16"/>
          <w:color w:val="auto"/>
        </w:rPr>
      </w:pPr>
    </w:p>
    <w:p>
      <w:pPr>
        <w:ind w:left="1180" w:hanging="259"/>
        <w:spacing w:after="0"/>
        <w:tabs>
          <w:tab w:leader="none" w:pos="1180" w:val="left"/>
        </w:tabs>
        <w:numPr>
          <w:ilvl w:val="2"/>
          <w:numId w:val="39"/>
        </w:numPr>
        <w:rPr>
          <w:rFonts w:ascii="Arial" w:cs="Arial" w:eastAsia="Arial" w:hAnsi="Arial"/>
          <w:sz w:val="17"/>
          <w:szCs w:val="17"/>
          <w:color w:val="auto"/>
        </w:rPr>
      </w:pPr>
      <w:r>
        <w:rPr>
          <w:rFonts w:ascii="Arial" w:cs="Arial" w:eastAsia="Arial" w:hAnsi="Arial"/>
          <w:sz w:val="17"/>
          <w:szCs w:val="17"/>
          <w:b w:val="1"/>
          <w:bCs w:val="1"/>
          <w:color w:val="auto"/>
        </w:rPr>
        <w:t>Limitation</w:t>
      </w:r>
      <w:r>
        <w:rPr>
          <w:rFonts w:ascii="Arial" w:cs="Arial" w:eastAsia="Arial" w:hAnsi="Arial"/>
          <w:sz w:val="17"/>
          <w:szCs w:val="17"/>
          <w:color w:val="auto"/>
        </w:rPr>
        <w:t>. A Participant shall be eligible to receive payment in respect of a Performance Compensation Award only to the extent that:</w:t>
      </w:r>
    </w:p>
    <w:p>
      <w:pPr>
        <w:spacing w:after="0" w:line="38" w:lineRule="exact"/>
        <w:rPr>
          <w:rFonts w:ascii="Arial" w:cs="Arial" w:eastAsia="Arial" w:hAnsi="Arial"/>
          <w:sz w:val="17"/>
          <w:szCs w:val="17"/>
          <w:color w:val="auto"/>
        </w:rPr>
      </w:pPr>
    </w:p>
    <w:p>
      <w:pPr>
        <w:ind w:right="100" w:firstLine="8"/>
        <w:spacing w:after="0" w:line="261" w:lineRule="auto"/>
        <w:tabs>
          <w:tab w:leader="none" w:pos="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Performance Goals for such period are achieved; and (B) the Performance Formula as applied against such Performance Goals determines that all or some portion of such Participant’s Performance Award has been earned for the Performance Period.</w:t>
      </w:r>
    </w:p>
    <w:p>
      <w:pPr>
        <w:spacing w:after="0" w:line="71" w:lineRule="exact"/>
        <w:rPr>
          <w:rFonts w:ascii="Arial" w:cs="Arial" w:eastAsia="Arial" w:hAnsi="Arial"/>
          <w:sz w:val="18"/>
          <w:szCs w:val="18"/>
          <w:color w:val="auto"/>
        </w:rPr>
      </w:pPr>
    </w:p>
    <w:p>
      <w:pPr>
        <w:ind w:right="80" w:firstLine="921"/>
        <w:spacing w:after="0" w:line="258" w:lineRule="auto"/>
        <w:tabs>
          <w:tab w:leader="none" w:pos="1228" w:val="left"/>
        </w:tabs>
        <w:numPr>
          <w:ilvl w:val="2"/>
          <w:numId w:val="40"/>
        </w:numPr>
        <w:rPr>
          <w:rFonts w:ascii="Arial" w:cs="Arial" w:eastAsia="Arial" w:hAnsi="Arial"/>
          <w:sz w:val="18"/>
          <w:szCs w:val="18"/>
          <w:color w:val="auto"/>
        </w:rPr>
      </w:pPr>
      <w:r>
        <w:rPr>
          <w:rFonts w:ascii="Arial" w:cs="Arial" w:eastAsia="Arial" w:hAnsi="Arial"/>
          <w:sz w:val="18"/>
          <w:szCs w:val="18"/>
          <w:b w:val="1"/>
          <w:bCs w:val="1"/>
          <w:color w:val="auto"/>
        </w:rPr>
        <w:t>Certification</w:t>
      </w:r>
      <w:r>
        <w:rPr>
          <w:rFonts w:ascii="Arial" w:cs="Arial" w:eastAsia="Arial" w:hAnsi="Arial"/>
          <w:sz w:val="18"/>
          <w:szCs w:val="18"/>
          <w:color w:val="auto"/>
        </w:rPr>
        <w:t>. Following the completion of a Performance Period, the Committee shall review and certify in writing whether, and to what</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the Performance Goals for the Performance Period have been achieved and, if so, calculate and certify in writing that amount of the Performance Compensation Awards earned for the period based upon the Performance Formula. The Committee shall then determine the actual size of each Participant’s Performance Compensation Award for the Performance Period and, in so doing, may apply Negative Discretion in accordance with Section 11(d)(iv) hereof, if and when it deems appropriate.</w:t>
      </w:r>
    </w:p>
    <w:p>
      <w:pPr>
        <w:spacing w:after="0" w:line="75" w:lineRule="exact"/>
        <w:rPr>
          <w:rFonts w:ascii="Arial" w:cs="Arial" w:eastAsia="Arial" w:hAnsi="Arial"/>
          <w:sz w:val="18"/>
          <w:szCs w:val="18"/>
          <w:color w:val="auto"/>
        </w:rPr>
      </w:pPr>
    </w:p>
    <w:p>
      <w:pPr>
        <w:ind w:right="40" w:firstLine="921"/>
        <w:spacing w:after="0" w:line="298" w:lineRule="auto"/>
        <w:tabs>
          <w:tab w:leader="none" w:pos="1218" w:val="left"/>
        </w:tabs>
        <w:numPr>
          <w:ilvl w:val="2"/>
          <w:numId w:val="40"/>
        </w:numPr>
        <w:rPr>
          <w:rFonts w:ascii="Arial" w:cs="Arial" w:eastAsia="Arial" w:hAnsi="Arial"/>
          <w:sz w:val="16"/>
          <w:szCs w:val="16"/>
          <w:color w:val="auto"/>
        </w:rPr>
      </w:pPr>
      <w:r>
        <w:rPr>
          <w:rFonts w:ascii="Arial" w:cs="Arial" w:eastAsia="Arial" w:hAnsi="Arial"/>
          <w:sz w:val="16"/>
          <w:szCs w:val="16"/>
          <w:b w:val="1"/>
          <w:bCs w:val="1"/>
          <w:color w:val="auto"/>
        </w:rPr>
        <w:t>Use of Discretion</w:t>
      </w:r>
      <w:r>
        <w:rPr>
          <w:rFonts w:ascii="Arial" w:cs="Arial" w:eastAsia="Arial" w:hAnsi="Arial"/>
          <w:sz w:val="16"/>
          <w:szCs w:val="16"/>
          <w:color w:val="auto"/>
        </w:rPr>
        <w:t>. In determining the actual size of an individual Performance Award for a Performance Period, the Committee may reduce</w:t>
      </w:r>
      <w:r>
        <w:rPr>
          <w:rFonts w:ascii="Arial" w:cs="Arial" w:eastAsia="Arial" w:hAnsi="Arial"/>
          <w:sz w:val="16"/>
          <w:szCs w:val="16"/>
          <w:b w:val="1"/>
          <w:bCs w:val="1"/>
          <w:color w:val="auto"/>
        </w:rPr>
        <w:t xml:space="preserve"> </w:t>
      </w:r>
      <w:r>
        <w:rPr>
          <w:rFonts w:ascii="Arial" w:cs="Arial" w:eastAsia="Arial" w:hAnsi="Arial"/>
          <w:sz w:val="16"/>
          <w:szCs w:val="16"/>
          <w:color w:val="auto"/>
        </w:rPr>
        <w:t>or eliminate the amount of the Performance Compensation Award earned under the Performance Formula in the Performance Period through the use of Negative Discretion if, in its sole judgment, such reduction or elimination is appropriate. The Committee shall not have the discretion to (a) grant or provide payment in respect of Performance Compensation Awards for a Performance Period if the Performance Goals for such Performance Period have not been attained; or (b) increase a Performance Compensation Award above the maximum amount payable under Sections 5(d) or 11(d)(vi) of the Plan.</w:t>
      </w:r>
    </w:p>
    <w:p>
      <w:pPr>
        <w:spacing w:after="0" w:line="46" w:lineRule="exact"/>
        <w:rPr>
          <w:rFonts w:ascii="Arial" w:cs="Arial" w:eastAsia="Arial" w:hAnsi="Arial"/>
          <w:sz w:val="16"/>
          <w:szCs w:val="16"/>
          <w:color w:val="auto"/>
        </w:rPr>
      </w:pPr>
    </w:p>
    <w:p>
      <w:pPr>
        <w:ind w:right="140" w:firstLine="921"/>
        <w:spacing w:after="0" w:line="282" w:lineRule="auto"/>
        <w:tabs>
          <w:tab w:leader="none" w:pos="1168" w:val="left"/>
        </w:tabs>
        <w:numPr>
          <w:ilvl w:val="2"/>
          <w:numId w:val="40"/>
        </w:numPr>
        <w:rPr>
          <w:rFonts w:ascii="Arial" w:cs="Arial" w:eastAsia="Arial" w:hAnsi="Arial"/>
          <w:sz w:val="18"/>
          <w:szCs w:val="18"/>
          <w:color w:val="auto"/>
        </w:rPr>
      </w:pPr>
      <w:r>
        <w:rPr>
          <w:rFonts w:ascii="Arial" w:cs="Arial" w:eastAsia="Arial" w:hAnsi="Arial"/>
          <w:sz w:val="18"/>
          <w:szCs w:val="18"/>
          <w:b w:val="1"/>
          <w:bCs w:val="1"/>
          <w:color w:val="auto"/>
        </w:rPr>
        <w:t>Timing of Award Payments</w:t>
      </w:r>
      <w:r>
        <w:rPr>
          <w:rFonts w:ascii="Arial" w:cs="Arial" w:eastAsia="Arial" w:hAnsi="Arial"/>
          <w:sz w:val="18"/>
          <w:szCs w:val="18"/>
          <w:color w:val="auto"/>
        </w:rPr>
        <w:t>. Performance Compensation Awards granted for a Performance Period shall be paid to Participants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administratively practicable following completion of the certifications required by this Section 11.</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25" w:name="page26"/>
    <w:bookmarkEnd w:id="25"/>
    <w:p>
      <w:pPr>
        <w:ind w:right="20" w:firstLine="921"/>
        <w:spacing w:after="0" w:line="285" w:lineRule="auto"/>
        <w:tabs>
          <w:tab w:leader="none" w:pos="1218" w:val="left"/>
        </w:tabs>
        <w:numPr>
          <w:ilvl w:val="1"/>
          <w:numId w:val="4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Maximum Award Payable</w:t>
      </w:r>
      <w:r>
        <w:rPr>
          <w:rFonts w:ascii="Arial" w:cs="Arial" w:eastAsia="Arial" w:hAnsi="Arial"/>
          <w:sz w:val="16"/>
          <w:szCs w:val="16"/>
          <w:color w:val="auto"/>
        </w:rPr>
        <w:t>. Notwithstanding any provision contained in this Plan to the contrary, the maximum Performance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Award payable to any one Participant under the Plan for a Performance Period is 500,000 shares of Stock or, in the event such Performance Compensation Award is paid in cash, the equivalent cash value thereof on the date of vesting. The maximum amount that can be paid in any calendar year to any Participant pursuant to a cash bonus Award described in the last sentence of Section 11(a) shall be $10,000,000. Furthermore, any Performance Compensation Award that has been deferred shall not (between the date as of which the Award is deferred and the payment date) increase (A) with respect to Performance Compensation Award that is payable in cash, by a measuring factor for each fiscal year greater than a reasonable rate of interest set by the Committee or</w:t>
      </w:r>
    </w:p>
    <w:p>
      <w:pPr>
        <w:spacing w:after="0" w:line="3" w:lineRule="exact"/>
        <w:rPr>
          <w:rFonts w:ascii="Arial" w:cs="Arial" w:eastAsia="Arial" w:hAnsi="Arial"/>
          <w:sz w:val="16"/>
          <w:szCs w:val="16"/>
          <w:color w:val="auto"/>
        </w:rPr>
      </w:pPr>
    </w:p>
    <w:p>
      <w:pPr>
        <w:ind w:firstLine="8"/>
        <w:spacing w:after="0" w:line="261" w:lineRule="auto"/>
        <w:tabs>
          <w:tab w:leader="none" w:pos="2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a Performance Compensation Award that is payable in shares of Stock, by an amount greater than the appreciation of a share of Stock from the date such Award is deferred to the payment date.</w:t>
      </w:r>
    </w:p>
    <w:p>
      <w:pPr>
        <w:spacing w:after="0" w:line="328"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17" w:lineRule="exact"/>
        <w:rPr>
          <w:rFonts w:ascii="Arial" w:cs="Arial" w:eastAsia="Arial" w:hAnsi="Arial"/>
          <w:sz w:val="18"/>
          <w:szCs w:val="18"/>
          <w:color w:val="auto"/>
        </w:rPr>
      </w:pPr>
    </w:p>
    <w:p>
      <w:pPr>
        <w:ind w:firstLine="464"/>
        <w:spacing w:after="0" w:line="288" w:lineRule="auto"/>
        <w:tabs>
          <w:tab w:leader="none" w:pos="701" w:val="left"/>
        </w:tabs>
        <w:numPr>
          <w:ilvl w:val="1"/>
          <w:numId w:val="43"/>
        </w:numPr>
        <w:rPr>
          <w:rFonts w:ascii="Arial" w:cs="Arial" w:eastAsia="Arial" w:hAnsi="Arial"/>
          <w:sz w:val="16"/>
          <w:szCs w:val="16"/>
          <w:color w:val="auto"/>
        </w:rPr>
      </w:pPr>
      <w:r>
        <w:rPr>
          <w:rFonts w:ascii="Arial" w:cs="Arial" w:eastAsia="Arial" w:hAnsi="Arial"/>
          <w:sz w:val="16"/>
          <w:szCs w:val="16"/>
          <w:b w:val="1"/>
          <w:bCs w:val="1"/>
          <w:color w:val="auto"/>
        </w:rPr>
        <w:t>Additional Provisions of an Award</w:t>
      </w:r>
      <w:r>
        <w:rPr>
          <w:rFonts w:ascii="Arial" w:cs="Arial" w:eastAsia="Arial" w:hAnsi="Arial"/>
          <w:sz w:val="16"/>
          <w:szCs w:val="16"/>
          <w:color w:val="auto"/>
        </w:rPr>
        <w:t>. Awards to a Participant under the Plan also may be subject to such other provisions (whether or not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Awards granted to any other Participant) as the Committee determines appropriate, including, without limitation, provisions to assist the Participant in financing the purchase of Stock upon the exercise of Options (provided, that the Committee determines that providing such financing does not violate the Sarbanes-Oxley Act of 2002), adding dividend equivalent rights or other protections to Participants in respect of dividends paid on Stock underlying any Award (in addition to and subject to those provisions of Section 9, including the prohibition on currently paying dividends or dividend equivalents prior to the release of restrictions or settlement of the corresponding Restricted Stock or Restricted Stock Units), provisions for the forfeiture of or restrictions on resale or other disposition of shares of Stock acquired under any Award, provisions giving the Company the right to repurchase shares of Stock acquired under any Award in the event the Participant elects to dispose of such shares, provisions allowing the Participant to elect to defer the receipt of payment in respect of Awards for a specified period or until a specified event, and provisions to comply with Federal and state securities laws and Federal and state tax withholding requirements;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deferral does not result in acceleration of taxability of an Award prior to receipt, or tax penalties, under Section 409A of the Code. Any such provisions shall be reflected in the applicable Award Agreement.</w:t>
      </w:r>
    </w:p>
    <w:p>
      <w:pPr>
        <w:spacing w:after="0" w:line="56" w:lineRule="exact"/>
        <w:rPr>
          <w:rFonts w:ascii="Arial" w:cs="Arial" w:eastAsia="Arial" w:hAnsi="Arial"/>
          <w:sz w:val="16"/>
          <w:szCs w:val="16"/>
          <w:color w:val="auto"/>
        </w:rPr>
      </w:pPr>
    </w:p>
    <w:p>
      <w:pPr>
        <w:ind w:right="120" w:firstLine="464"/>
        <w:spacing w:after="0" w:line="282" w:lineRule="auto"/>
        <w:tabs>
          <w:tab w:leader="none" w:pos="711" w:val="left"/>
        </w:tabs>
        <w:numPr>
          <w:ilvl w:val="1"/>
          <w:numId w:val="43"/>
        </w:numPr>
        <w:rPr>
          <w:rFonts w:ascii="Arial" w:cs="Arial" w:eastAsia="Arial" w:hAnsi="Arial"/>
          <w:sz w:val="18"/>
          <w:szCs w:val="18"/>
          <w:color w:val="auto"/>
        </w:rPr>
      </w:pPr>
      <w:r>
        <w:rPr>
          <w:rFonts w:ascii="Arial" w:cs="Arial" w:eastAsia="Arial" w:hAnsi="Arial"/>
          <w:sz w:val="18"/>
          <w:szCs w:val="18"/>
          <w:b w:val="1"/>
          <w:bCs w:val="1"/>
          <w:color w:val="auto"/>
        </w:rPr>
        <w:t>Privileges of Stock Ownership</w:t>
      </w:r>
      <w:r>
        <w:rPr>
          <w:rFonts w:ascii="Arial" w:cs="Arial" w:eastAsia="Arial" w:hAnsi="Arial"/>
          <w:sz w:val="18"/>
          <w:szCs w:val="18"/>
          <w:color w:val="auto"/>
        </w:rPr>
        <w:t>. Except as otherwise specifically provided in the Plan, no person shall be entitled to the privileges of ownership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shares of Stock which are subject to Awards hereunder until such shares have been issued to that person.</w:t>
      </w:r>
    </w:p>
    <w:p>
      <w:pPr>
        <w:spacing w:after="0" w:line="53" w:lineRule="exact"/>
        <w:rPr>
          <w:rFonts w:ascii="Arial" w:cs="Arial" w:eastAsia="Arial" w:hAnsi="Arial"/>
          <w:sz w:val="18"/>
          <w:szCs w:val="18"/>
          <w:color w:val="auto"/>
        </w:rPr>
      </w:pPr>
    </w:p>
    <w:p>
      <w:pPr>
        <w:jc w:val="both"/>
        <w:ind w:right="180" w:firstLine="464"/>
        <w:spacing w:after="0" w:line="266" w:lineRule="auto"/>
        <w:tabs>
          <w:tab w:leader="none" w:pos="701" w:val="left"/>
        </w:tabs>
        <w:numPr>
          <w:ilvl w:val="1"/>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Government and Other Regulations. </w:t>
      </w:r>
      <w:r>
        <w:rPr>
          <w:rFonts w:ascii="Arial" w:cs="Arial" w:eastAsia="Arial" w:hAnsi="Arial"/>
          <w:sz w:val="18"/>
          <w:szCs w:val="18"/>
          <w:color w:val="auto"/>
        </w:rPr>
        <w:t>The obligation of the Company to settle Awards in Stock shall be subject to all applicable laws,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to such approvals by governmental agencies as may be required. Notwithstanding any terms or conditions of any Award to the contrary, the Company shall be under no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26" w:name="page27"/>
    <w:bookmarkEnd w:id="2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 to offer to sell or to sell, and shall be prohibited from offering to sell or selling, any shares of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Stock to be offered or sold under the Plan. If the shares of Stock offered for sale or sold under the Plan are offered or sold pursuant to an exemption from registration under the Securities Act, the Company may restrict the transfer of such shares and may legend the Stock certificates representing such shares in such manner as it deems advisable to ensure the availability of any such exemption.</w:t>
      </w:r>
    </w:p>
    <w:p>
      <w:pPr>
        <w:spacing w:after="0" w:line="55" w:lineRule="exact"/>
        <w:rPr>
          <w:sz w:val="20"/>
          <w:szCs w:val="20"/>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Tax Withholding.</w:t>
      </w:r>
    </w:p>
    <w:p>
      <w:pPr>
        <w:spacing w:after="0" w:line="121" w:lineRule="exact"/>
        <w:rPr>
          <w:rFonts w:ascii="Arial" w:cs="Arial" w:eastAsia="Arial" w:hAnsi="Arial"/>
          <w:sz w:val="18"/>
          <w:szCs w:val="18"/>
          <w:color w:val="auto"/>
        </w:rPr>
      </w:pPr>
    </w:p>
    <w:p>
      <w:pPr>
        <w:ind w:firstLine="921"/>
        <w:spacing w:after="0" w:line="257" w:lineRule="auto"/>
        <w:tabs>
          <w:tab w:leader="none" w:pos="112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Participant may be required to pay to the Company or any Affiliate, and the Company or any Affiliate shall have the right and is hereby authorized to withhold from any shares of Stock or other property deliverable under any Award or from any compensation or other amounts owing to a Participant, the amount (in cash, Stock or other property) of any required income tax withholding and payroll taxes in respect of an Award, its exercise, or any payment or transfer under an Award or under the Plan and to take such other action as may be necessary in the opinion of the Company to satisfy all obligations for the payment of such withholding and taxes.</w:t>
      </w:r>
    </w:p>
    <w:p>
      <w:pPr>
        <w:spacing w:after="0" w:line="80" w:lineRule="exact"/>
        <w:rPr>
          <w:rFonts w:ascii="Arial" w:cs="Arial" w:eastAsia="Arial" w:hAnsi="Arial"/>
          <w:sz w:val="18"/>
          <w:szCs w:val="18"/>
          <w:color w:val="auto"/>
        </w:rPr>
      </w:pPr>
    </w:p>
    <w:p>
      <w:pPr>
        <w:ind w:right="180" w:firstLine="921"/>
        <w:spacing w:after="0" w:line="257" w:lineRule="auto"/>
        <w:tabs>
          <w:tab w:leader="none" w:pos="1178" w:val="left"/>
        </w:tabs>
        <w:numPr>
          <w:ilvl w:val="1"/>
          <w:numId w:val="44"/>
        </w:numPr>
        <w:rPr>
          <w:rFonts w:ascii="Arial" w:cs="Arial" w:eastAsia="Arial" w:hAnsi="Arial"/>
          <w:sz w:val="18"/>
          <w:szCs w:val="18"/>
          <w:color w:val="auto"/>
        </w:rPr>
      </w:pPr>
      <w:r>
        <w:rPr>
          <w:rFonts w:ascii="Arial" w:cs="Arial" w:eastAsia="Arial" w:hAnsi="Arial"/>
          <w:sz w:val="18"/>
          <w:szCs w:val="18"/>
          <w:color w:val="auto"/>
        </w:rPr>
        <w:t>Without limiting the generality of clause (i) above, the Committee may, in its sole discretion, permit a Participant to satisfy, in whole or in part, the foregoing withholding (at a tax withholding rate that will not result in adverse accounting implications for the Company) by (A) the delivery of shares of Stock owned by the Participant having a Fair Market Value equal to such withholding liability or (B) having the Company withhold from the number of shares of Stock otherwise issuable pursuant to the exercise or settlement of the Award a number of shares with a Fair Market Value equal to such withholding liability.</w:t>
      </w:r>
    </w:p>
    <w:p>
      <w:pPr>
        <w:spacing w:after="0" w:line="76" w:lineRule="exact"/>
        <w:rPr>
          <w:rFonts w:ascii="Arial" w:cs="Arial" w:eastAsia="Arial" w:hAnsi="Arial"/>
          <w:sz w:val="18"/>
          <w:szCs w:val="18"/>
          <w:color w:val="auto"/>
        </w:rPr>
      </w:pPr>
    </w:p>
    <w:p>
      <w:pPr>
        <w:ind w:right="240" w:firstLine="464"/>
        <w:spacing w:after="0" w:line="314" w:lineRule="auto"/>
        <w:tabs>
          <w:tab w:leader="none" w:pos="701"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 xml:space="preserve">Claim to Awards and Employment Rights. </w:t>
      </w:r>
      <w:r>
        <w:rPr>
          <w:rFonts w:ascii="Arial" w:cs="Arial" w:eastAsia="Arial" w:hAnsi="Arial"/>
          <w:sz w:val="16"/>
          <w:szCs w:val="16"/>
          <w:color w:val="auto"/>
        </w:rPr>
        <w:t>No employee of the Company or an Affiliate, or other person, shall have any claim or right to be</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an Award under the Plan or, having been selected for the grant of an Award, to be selected for a grant of any other Award. Neither the Plan nor any action taken hereunder shall be construed as giving any Participant any right to be retained in the employ or service of the Company or an Affiliate.</w:t>
      </w:r>
    </w:p>
    <w:p>
      <w:pPr>
        <w:spacing w:after="0" w:line="34" w:lineRule="exact"/>
        <w:rPr>
          <w:rFonts w:ascii="Arial" w:cs="Arial" w:eastAsia="Arial" w:hAnsi="Arial"/>
          <w:sz w:val="16"/>
          <w:szCs w:val="16"/>
          <w:color w:val="auto"/>
        </w:rPr>
      </w:pPr>
    </w:p>
    <w:p>
      <w:pPr>
        <w:ind w:right="80" w:firstLine="464"/>
        <w:spacing w:after="0" w:line="261" w:lineRule="auto"/>
        <w:tabs>
          <w:tab w:leader="none" w:pos="681"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Designation and Change of Beneficiary. </w:t>
      </w:r>
      <w:r>
        <w:rPr>
          <w:rFonts w:ascii="Arial" w:cs="Arial" w:eastAsia="Arial" w:hAnsi="Arial"/>
          <w:sz w:val="18"/>
          <w:szCs w:val="18"/>
          <w:color w:val="auto"/>
        </w:rPr>
        <w:t>Each Participant may file with the Committee a written designation of one or more persons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beneficiary who shall be entitled to receive the amounts payable with respect to an Award, if any, due under the Plan upon his death. A Participant may, from time to time, revoke or change his beneficiary designation without the consent of any prior beneficiary by filing a new designation with the Committee. The last such designation received by the Committee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7" w:name="page28"/>
    <w:bookmarkEnd w:id="27"/>
    <w:p>
      <w:pPr>
        <w:jc w:val="both"/>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shall be controlling;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spacing w:after="0" w:line="53" w:lineRule="exact"/>
        <w:rPr>
          <w:sz w:val="20"/>
          <w:szCs w:val="20"/>
          <w:color w:val="auto"/>
        </w:rPr>
      </w:pPr>
    </w:p>
    <w:p>
      <w:pPr>
        <w:ind w:right="160" w:firstLine="464"/>
        <w:spacing w:after="0" w:line="298" w:lineRule="auto"/>
        <w:tabs>
          <w:tab w:leader="none" w:pos="711"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Payments to Persons Other Than Participants</w:t>
      </w:r>
      <w:r>
        <w:rPr>
          <w:rFonts w:ascii="Arial" w:cs="Arial" w:eastAsia="Arial" w:hAnsi="Arial"/>
          <w:sz w:val="16"/>
          <w:szCs w:val="16"/>
          <w:color w:val="auto"/>
        </w:rPr>
        <w:t>. If the Committee shall find that any person to whom any amount is payable under the Plan is</w:t>
      </w:r>
      <w:r>
        <w:rPr>
          <w:rFonts w:ascii="Arial" w:cs="Arial" w:eastAsia="Arial" w:hAnsi="Arial"/>
          <w:sz w:val="16"/>
          <w:szCs w:val="16"/>
          <w:b w:val="1"/>
          <w:bCs w:val="1"/>
          <w:color w:val="auto"/>
        </w:rPr>
        <w:t xml:space="preserve"> </w:t>
      </w:r>
      <w:r>
        <w:rPr>
          <w:rFonts w:ascii="Arial" w:cs="Arial" w:eastAsia="Arial" w:hAnsi="Arial"/>
          <w:sz w:val="16"/>
          <w:szCs w:val="16"/>
          <w:color w:val="auto"/>
        </w:rPr>
        <w:t>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46" w:lineRule="exact"/>
        <w:rPr>
          <w:rFonts w:ascii="Arial" w:cs="Arial" w:eastAsia="Arial" w:hAnsi="Arial"/>
          <w:sz w:val="16"/>
          <w:szCs w:val="16"/>
          <w:color w:val="auto"/>
        </w:rPr>
      </w:pPr>
    </w:p>
    <w:p>
      <w:pPr>
        <w:ind w:firstLine="464"/>
        <w:spacing w:after="0" w:line="254" w:lineRule="auto"/>
        <w:tabs>
          <w:tab w:leader="none" w:pos="711"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No Liability of Committee Members</w:t>
      </w:r>
      <w:r>
        <w:rPr>
          <w:rFonts w:ascii="Arial" w:cs="Arial" w:eastAsia="Arial" w:hAnsi="Arial"/>
          <w:sz w:val="18"/>
          <w:szCs w:val="18"/>
          <w:color w:val="auto"/>
        </w:rPr>
        <w:t>. No member of the Committee shall be personally liable by reason of any contract or other instrument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executed by 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81" w:lineRule="exact"/>
        <w:rPr>
          <w:rFonts w:ascii="Arial" w:cs="Arial" w:eastAsia="Arial" w:hAnsi="Arial"/>
          <w:sz w:val="18"/>
          <w:szCs w:val="18"/>
          <w:color w:val="auto"/>
        </w:rPr>
      </w:pPr>
    </w:p>
    <w:p>
      <w:pPr>
        <w:ind w:right="100" w:firstLine="464"/>
        <w:spacing w:after="0" w:line="282" w:lineRule="auto"/>
        <w:tabs>
          <w:tab w:leader="none" w:pos="671"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shall be governed by and construed in accordance with the internal laws of the State of Delaware applicable to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made and performed wholly within the State of Delaware.</w:t>
      </w:r>
    </w:p>
    <w:p>
      <w:pPr>
        <w:spacing w:after="0" w:line="53" w:lineRule="exact"/>
        <w:rPr>
          <w:rFonts w:ascii="Arial" w:cs="Arial" w:eastAsia="Arial" w:hAnsi="Arial"/>
          <w:sz w:val="18"/>
          <w:szCs w:val="18"/>
          <w:color w:val="auto"/>
        </w:rPr>
      </w:pPr>
    </w:p>
    <w:p>
      <w:pPr>
        <w:ind w:right="20" w:firstLine="464"/>
        <w:spacing w:after="0" w:line="298" w:lineRule="auto"/>
        <w:tabs>
          <w:tab w:leader="none" w:pos="671"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Funding. </w:t>
      </w:r>
      <w:r>
        <w:rPr>
          <w:rFonts w:ascii="Arial" w:cs="Arial" w:eastAsia="Arial" w:hAnsi="Arial"/>
          <w:sz w:val="16"/>
          <w:szCs w:val="16"/>
          <w:color w:val="auto"/>
        </w:rPr>
        <w:t>No provision of the Plan shall require the Company, for the purpose of satisfying any obligations under the Plan, to purchase assets or</w:t>
      </w:r>
      <w:r>
        <w:rPr>
          <w:rFonts w:ascii="Arial" w:cs="Arial" w:eastAsia="Arial" w:hAnsi="Arial"/>
          <w:sz w:val="16"/>
          <w:szCs w:val="16"/>
          <w:b w:val="1"/>
          <w:bCs w:val="1"/>
          <w:color w:val="auto"/>
        </w:rPr>
        <w:t xml:space="preserve"> </w:t>
      </w:r>
      <w:r>
        <w:rPr>
          <w:rFonts w:ascii="Arial" w:cs="Arial" w:eastAsia="Arial" w:hAnsi="Arial"/>
          <w:sz w:val="16"/>
          <w:szCs w:val="16"/>
          <w:color w:val="auto"/>
        </w:rPr>
        <w:t>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8" w:name="page29"/>
    <w:bookmarkEnd w:id="28"/>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Nontransferability.</w:t>
      </w:r>
    </w:p>
    <w:p>
      <w:pPr>
        <w:spacing w:after="0" w:line="121" w:lineRule="exact"/>
        <w:rPr>
          <w:rFonts w:ascii="Arial" w:cs="Arial" w:eastAsia="Arial" w:hAnsi="Arial"/>
          <w:sz w:val="18"/>
          <w:szCs w:val="18"/>
          <w:color w:val="auto"/>
        </w:rPr>
      </w:pPr>
    </w:p>
    <w:p>
      <w:pPr>
        <w:ind w:right="240" w:firstLine="921"/>
        <w:spacing w:after="0" w:line="257" w:lineRule="auto"/>
        <w:tabs>
          <w:tab w:leader="none" w:pos="1128" w:val="left"/>
        </w:tabs>
        <w:numPr>
          <w:ilvl w:val="1"/>
          <w:numId w:val="46"/>
        </w:numPr>
        <w:rPr>
          <w:rFonts w:ascii="Arial" w:cs="Arial" w:eastAsia="Arial" w:hAnsi="Arial"/>
          <w:sz w:val="18"/>
          <w:szCs w:val="18"/>
          <w:color w:val="auto"/>
        </w:rPr>
      </w:pPr>
      <w:r>
        <w:rPr>
          <w:rFonts w:ascii="Arial" w:cs="Arial" w:eastAsia="Arial" w:hAnsi="Arial"/>
          <w:sz w:val="18"/>
          <w:szCs w:val="18"/>
          <w:color w:val="auto"/>
        </w:rPr>
        <w:t>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80" w:lineRule="exact"/>
        <w:rPr>
          <w:rFonts w:ascii="Arial" w:cs="Arial" w:eastAsia="Arial" w:hAnsi="Arial"/>
          <w:sz w:val="18"/>
          <w:szCs w:val="18"/>
          <w:color w:val="auto"/>
        </w:rPr>
      </w:pPr>
    </w:p>
    <w:p>
      <w:pPr>
        <w:ind w:right="60" w:firstLine="921"/>
        <w:spacing w:after="0" w:line="264" w:lineRule="auto"/>
        <w:tabs>
          <w:tab w:leader="none" w:pos="1178"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w:t>
      </w:r>
    </w:p>
    <w:p>
      <w:pPr>
        <w:spacing w:after="0" w:line="73" w:lineRule="exact"/>
        <w:rPr>
          <w:rFonts w:ascii="Arial" w:cs="Arial" w:eastAsia="Arial" w:hAnsi="Arial"/>
          <w:sz w:val="18"/>
          <w:szCs w:val="18"/>
          <w:color w:val="auto"/>
        </w:rPr>
      </w:pPr>
    </w:p>
    <w:p>
      <w:pPr>
        <w:ind w:right="640" w:firstLine="1492"/>
        <w:spacing w:after="0" w:line="277" w:lineRule="auto"/>
        <w:tabs>
          <w:tab w:leader="none" w:pos="1703"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person who is a “family member” of the Participant, as such term is used in the instructions to Form S-8 (collectively, the “Immediate Family Members”);</w:t>
      </w:r>
    </w:p>
    <w:p>
      <w:pPr>
        <w:spacing w:after="0" w:line="62" w:lineRule="exact"/>
        <w:rPr>
          <w:rFonts w:ascii="Arial" w:cs="Arial" w:eastAsia="Arial" w:hAnsi="Arial"/>
          <w:sz w:val="18"/>
          <w:szCs w:val="18"/>
          <w:color w:val="auto"/>
        </w:rPr>
      </w:pPr>
    </w:p>
    <w:p>
      <w:pPr>
        <w:ind w:left="1700" w:hanging="208"/>
        <w:spacing w:after="0"/>
        <w:tabs>
          <w:tab w:leader="none" w:pos="17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a trust solely for the benefit of the Participant and his or her Immediate Family Members;</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2"/>
          <w:numId w:val="46"/>
        </w:numPr>
        <w:rPr>
          <w:rFonts w:ascii="Arial" w:cs="Arial" w:eastAsia="Arial" w:hAnsi="Arial"/>
          <w:sz w:val="17"/>
          <w:szCs w:val="17"/>
          <w:color w:val="auto"/>
        </w:rPr>
      </w:pPr>
      <w:r>
        <w:rPr>
          <w:rFonts w:ascii="Arial" w:cs="Arial" w:eastAsia="Arial" w:hAnsi="Arial"/>
          <w:sz w:val="17"/>
          <w:szCs w:val="17"/>
          <w:color w:val="auto"/>
        </w:rPr>
        <w:t>a partnership or limited liability company whose only partners or stockholders are the Participant and his or her Immediate Family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Members; or</w:t>
      </w:r>
    </w:p>
    <w:p>
      <w:pPr>
        <w:spacing w:after="0" w:line="102" w:lineRule="exact"/>
        <w:rPr>
          <w:rFonts w:ascii="Arial" w:cs="Arial" w:eastAsia="Arial" w:hAnsi="Arial"/>
          <w:sz w:val="17"/>
          <w:szCs w:val="17"/>
          <w:color w:val="auto"/>
        </w:rPr>
      </w:pPr>
    </w:p>
    <w:p>
      <w:pPr>
        <w:ind w:left="1720" w:hanging="228"/>
        <w:spacing w:after="0"/>
        <w:tabs>
          <w:tab w:leader="none" w:pos="1720" w:val="left"/>
        </w:tabs>
        <w:numPr>
          <w:ilvl w:val="2"/>
          <w:numId w:val="46"/>
        </w:numPr>
        <w:rPr>
          <w:rFonts w:ascii="Arial" w:cs="Arial" w:eastAsia="Arial" w:hAnsi="Arial"/>
          <w:sz w:val="16"/>
          <w:szCs w:val="16"/>
          <w:color w:val="auto"/>
        </w:rPr>
      </w:pPr>
      <w:r>
        <w:rPr>
          <w:rFonts w:ascii="Arial" w:cs="Arial" w:eastAsia="Arial" w:hAnsi="Arial"/>
          <w:sz w:val="16"/>
          <w:szCs w:val="16"/>
          <w:color w:val="auto"/>
        </w:rPr>
        <w:t>other transferee as may be approved either (a) by the Board or the Committee in its sole discretion, or (b) as provided in the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 Agreement;</w:t>
      </w:r>
    </w:p>
    <w:p>
      <w:pPr>
        <w:spacing w:after="0" w:line="103"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 xml:space="preserve">(each transferee described in clauses (A), (B), (C) and (D) above is hereinafter referred to as a “Permitted Transferee”);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73" w:lineRule="exact"/>
        <w:rPr>
          <w:sz w:val="20"/>
          <w:szCs w:val="20"/>
          <w:color w:val="auto"/>
        </w:rPr>
      </w:pPr>
    </w:p>
    <w:p>
      <w:pPr>
        <w:ind w:firstLine="921"/>
        <w:spacing w:after="0" w:line="255" w:lineRule="auto"/>
        <w:tabs>
          <w:tab w:leader="none" w:pos="12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0" w:right="259" w:bottom="1440" w:gutter="0" w:footer="0" w:header="0"/>
        </w:sectPr>
      </w:pPr>
    </w:p>
    <w:bookmarkStart w:id="29" w:name="page30"/>
    <w:bookmarkEnd w:id="29"/>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75" w:lineRule="exact"/>
        <w:rPr>
          <w:sz w:val="20"/>
          <w:szCs w:val="20"/>
          <w:color w:val="auto"/>
        </w:rPr>
      </w:pPr>
    </w:p>
    <w:p>
      <w:pPr>
        <w:ind w:right="80" w:firstLine="464"/>
        <w:spacing w:after="0" w:line="314" w:lineRule="auto"/>
        <w:tabs>
          <w:tab w:leader="none" w:pos="671"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Reliance on Reports</w:t>
      </w:r>
      <w:r>
        <w:rPr>
          <w:rFonts w:ascii="Arial" w:cs="Arial" w:eastAsia="Arial" w:hAnsi="Arial"/>
          <w:sz w:val="16"/>
          <w:szCs w:val="16"/>
          <w:color w:val="auto"/>
        </w:rPr>
        <w:t>. Each member of the Committee and each member of the Board shall be fully justified in acting or failing to act, as the case</w:t>
      </w:r>
      <w:r>
        <w:rPr>
          <w:rFonts w:ascii="Arial" w:cs="Arial" w:eastAsia="Arial" w:hAnsi="Arial"/>
          <w:sz w:val="16"/>
          <w:szCs w:val="16"/>
          <w:b w:val="1"/>
          <w:bCs w:val="1"/>
          <w:color w:val="auto"/>
        </w:rPr>
        <w:t xml:space="preserve"> </w:t>
      </w:r>
      <w:r>
        <w:rPr>
          <w:rFonts w:ascii="Arial" w:cs="Arial" w:eastAsia="Arial" w:hAnsi="Arial"/>
          <w:sz w:val="16"/>
          <w:szCs w:val="16"/>
          <w:color w:val="auto"/>
        </w:rPr>
        <w:t>may be, and shall not be liable for having so acted or failed to act in good faith, in reliance upon any report made by the independent public accountant of the Company and its Affiliates and/or any other information furnished in connection with the Plan by any person or persons other than himself.</w:t>
      </w:r>
    </w:p>
    <w:p>
      <w:pPr>
        <w:spacing w:after="0" w:line="34" w:lineRule="exact"/>
        <w:rPr>
          <w:rFonts w:ascii="Arial" w:cs="Arial" w:eastAsia="Arial" w:hAnsi="Arial"/>
          <w:sz w:val="16"/>
          <w:szCs w:val="16"/>
          <w:color w:val="auto"/>
        </w:rPr>
      </w:pPr>
    </w:p>
    <w:p>
      <w:pPr>
        <w:ind w:right="40" w:firstLine="464"/>
        <w:spacing w:after="0" w:line="313" w:lineRule="auto"/>
        <w:tabs>
          <w:tab w:leader="none" w:pos="761"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Relationship to Other Benefits</w:t>
      </w:r>
      <w:r>
        <w:rPr>
          <w:rFonts w:ascii="Arial" w:cs="Arial" w:eastAsia="Arial" w:hAnsi="Arial"/>
          <w:sz w:val="17"/>
          <w:szCs w:val="17"/>
          <w:color w:val="auto"/>
        </w:rPr>
        <w:t>. No payment under the Plan shall be taken into account in determining any benefits under any pension, retirement,</w:t>
      </w:r>
      <w:r>
        <w:rPr>
          <w:rFonts w:ascii="Arial" w:cs="Arial" w:eastAsia="Arial" w:hAnsi="Arial"/>
          <w:sz w:val="17"/>
          <w:szCs w:val="17"/>
          <w:b w:val="1"/>
          <w:bCs w:val="1"/>
          <w:color w:val="auto"/>
        </w:rPr>
        <w:t xml:space="preserve"> </w:t>
      </w:r>
      <w:r>
        <w:rPr>
          <w:rFonts w:ascii="Arial" w:cs="Arial" w:eastAsia="Arial" w:hAnsi="Arial"/>
          <w:sz w:val="17"/>
          <w:szCs w:val="17"/>
          <w:color w:val="auto"/>
        </w:rPr>
        <w:t>profit sharing, group insurance or other benefit plan of the Company except as otherwise specifically provided in such other plan.</w:t>
      </w:r>
    </w:p>
    <w:p>
      <w:pPr>
        <w:spacing w:after="0" w:line="30" w:lineRule="exact"/>
        <w:rPr>
          <w:rFonts w:ascii="Arial" w:cs="Arial" w:eastAsia="Arial" w:hAnsi="Arial"/>
          <w:sz w:val="17"/>
          <w:szCs w:val="17"/>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expenses of administering the Plan shall be borne by the Company and Affiliates.</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Pronouns. </w:t>
      </w:r>
      <w:r>
        <w:rPr>
          <w:rFonts w:ascii="Arial" w:cs="Arial" w:eastAsia="Arial" w:hAnsi="Arial"/>
          <w:sz w:val="18"/>
          <w:szCs w:val="18"/>
          <w:color w:val="auto"/>
        </w:rPr>
        <w:t>Masculine pronouns and other words of masculine gender shall refer to both men and women.</w:t>
      </w:r>
    </w:p>
    <w:p>
      <w:pPr>
        <w:spacing w:after="0" w:line="117" w:lineRule="exact"/>
        <w:rPr>
          <w:rFonts w:ascii="Arial" w:cs="Arial" w:eastAsia="Arial" w:hAnsi="Arial"/>
          <w:sz w:val="18"/>
          <w:szCs w:val="18"/>
          <w:color w:val="auto"/>
        </w:rPr>
      </w:pPr>
    </w:p>
    <w:p>
      <w:pPr>
        <w:ind w:right="160" w:firstLine="464"/>
        <w:spacing w:after="0" w:line="282"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w:t>
      </w:r>
      <w:r>
        <w:rPr>
          <w:rFonts w:ascii="Arial" w:cs="Arial" w:eastAsia="Arial" w:hAnsi="Arial"/>
          <w:sz w:val="18"/>
          <w:szCs w:val="18"/>
          <w:b w:val="1"/>
          <w:bCs w:val="1"/>
          <w:color w:val="auto"/>
        </w:rPr>
        <w:t xml:space="preserve"> </w:t>
      </w:r>
      <w:r>
        <w:rPr>
          <w:rFonts w:ascii="Arial" w:cs="Arial" w:eastAsia="Arial" w:hAnsi="Arial"/>
          <w:sz w:val="18"/>
          <w:szCs w:val="18"/>
          <w:color w:val="auto"/>
        </w:rPr>
        <w:t>text of the Plan, rather than such titles or headings shall control.</w:t>
      </w:r>
    </w:p>
    <w:p>
      <w:pPr>
        <w:spacing w:after="0" w:line="53" w:lineRule="exact"/>
        <w:rPr>
          <w:rFonts w:ascii="Arial" w:cs="Arial" w:eastAsia="Arial" w:hAnsi="Arial"/>
          <w:sz w:val="18"/>
          <w:szCs w:val="18"/>
          <w:color w:val="auto"/>
        </w:rPr>
      </w:pPr>
    </w:p>
    <w:p>
      <w:pPr>
        <w:jc w:val="both"/>
        <w:ind w:right="240" w:firstLine="464"/>
        <w:spacing w:after="0" w:line="266"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Unless an applicable Award Agreement provides otherwise, for purposes of the Plan, a person who transfers from</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service with the Company to employment or service with an Affiliate or vice versa shall not be deemed to have terminated employment or service with the Company or an Affiliate.</w:t>
      </w:r>
    </w:p>
    <w:p>
      <w:pPr>
        <w:spacing w:after="0" w:line="68" w:lineRule="exact"/>
        <w:rPr>
          <w:rFonts w:ascii="Arial" w:cs="Arial" w:eastAsia="Arial" w:hAnsi="Arial"/>
          <w:sz w:val="18"/>
          <w:szCs w:val="18"/>
          <w:color w:val="auto"/>
        </w:rPr>
      </w:pPr>
    </w:p>
    <w:p>
      <w:pPr>
        <w:ind w:firstLine="464"/>
        <w:spacing w:after="0" w:line="258" w:lineRule="auto"/>
        <w:tabs>
          <w:tab w:leader="none" w:pos="681"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the Plan or any Award Agreement is or becomes or is deemed to be invalid, illegal, or unenforceable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75" w:lineRule="exact"/>
        <w:rPr>
          <w:rFonts w:ascii="Arial" w:cs="Arial" w:eastAsia="Arial" w:hAnsi="Arial"/>
          <w:sz w:val="18"/>
          <w:szCs w:val="18"/>
          <w:color w:val="auto"/>
        </w:rPr>
      </w:pPr>
    </w:p>
    <w:p>
      <w:pPr>
        <w:ind w:right="640" w:firstLine="464"/>
        <w:spacing w:after="0" w:line="289" w:lineRule="auto"/>
        <w:tabs>
          <w:tab w:leader="none" w:pos="691"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 xml:space="preserve">Compliance with Applicable Law. </w:t>
      </w:r>
      <w:r>
        <w:rPr>
          <w:rFonts w:ascii="Arial" w:cs="Arial" w:eastAsia="Arial" w:hAnsi="Arial"/>
          <w:sz w:val="17"/>
          <w:szCs w:val="17"/>
          <w:color w:val="auto"/>
        </w:rPr>
        <w:t>Notwithstanding any provision in the Plan to the contrary, the Committee reserves the right to add any</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0" w:name="page31"/>
    <w:bookmarkEnd w:id="30"/>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Capital Structure</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Awards granted under the Plan and any agreements evidencing such Awards, the maximum number of shares of Stock subject to all Awards stated in Section 5(a) and the maximum number of shares of Stock with respect to which any one person may be granted Awards during any period stated in Sections 5(d) or 11(d)(vi) shall be subject to adjustment or substitution, as determined by the Committee in its sole discretion, as to the number, price or kind of a share of Stock or other consideration subject to such Awards or as otherwise determined by the Committee to be equitable (i) in the event of changes in the outstanding Stock or in the capital structure of the Company by reason of stock or extraordinary cash dividends, stock splits, reverse stock splits, recapitalization, reorganizations, mergers, consolidations, combinations, exchanges, or other relevant changes in capitalization occurring after the Date of Grant of any such Award or (ii) in the event of any change in applicable laws or any change in circumstances which results in or would result in any substantial dilution or enlargement of the rights granted to, or available for, Participants, or which otherwise warrants equitable adjustment because it interferes with the intended operation of the Plan. Any adjustment in Incentive Stock Options under this Section 13 shall be made only to the extent not constituting a “modification” within the meaning of Section 424(h)(3) of the Code, and any adjustments under this Section 13 shall be made in a manner which does not adversely affect the exemption provided pursuant to Rule 16b-3 under the Exchange Act. Further, with respect to Awards intended to qualify as “performance-based compensation” under Section 162(m) of the Code, such adjustments or substitutions shall be made only to the extent that the Committee determines that such adjustments or substitutions may be made without causing the Company to be denied a tax deduction on account of Section 162(m) of the Code. The Company shall give each Participant notice of an adjustment hereunder and, upon notice, such adjustment shall be conclusive and binding for all purposes.</w:t>
      </w:r>
    </w:p>
    <w:p>
      <w:pPr>
        <w:spacing w:after="0" w:line="183" w:lineRule="exact"/>
        <w:rPr>
          <w:sz w:val="20"/>
          <w:szCs w:val="20"/>
          <w:color w:val="auto"/>
        </w:rPr>
      </w:pPr>
    </w:p>
    <w:p>
      <w:pPr>
        <w:jc w:val="both"/>
        <w:ind w:right="100" w:firstLine="456"/>
        <w:spacing w:after="0" w:line="257" w:lineRule="auto"/>
        <w:rPr>
          <w:sz w:val="20"/>
          <w:szCs w:val="20"/>
          <w:color w:val="auto"/>
        </w:rPr>
      </w:pPr>
      <w:r>
        <w:rPr>
          <w:rFonts w:ascii="Arial" w:cs="Arial" w:eastAsia="Arial" w:hAnsi="Arial"/>
          <w:sz w:val="18"/>
          <w:szCs w:val="18"/>
          <w:color w:val="auto"/>
        </w:rPr>
        <w:t>Notwithstanding the above, if the Company is merged or consolidated with another corporation or entity and, in connection therewith, consideration is received by stockholders of the Company in a form other than stock or other equity interests of the surviving entity then the Committee may, in its discretion and upon at least 10 days advance notice to the affected persons, cancel any outstanding Awards and cause the holders thereof to be paid, in cash or stock, or any combination thereof, the value of such Awards based upon the price per share of Stock received or to be received by other stockholders of the Company in the event.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this Section 13 may be varied by the Committee in any particular Award Agreement.</w:t>
      </w:r>
    </w:p>
    <w:p>
      <w:pPr>
        <w:spacing w:after="0" w:line="37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p>
    <w:p>
      <w:pPr>
        <w:spacing w:after="0" w:line="121" w:lineRule="exact"/>
        <w:rPr>
          <w:rFonts w:ascii="Arial" w:cs="Arial" w:eastAsia="Arial" w:hAnsi="Arial"/>
          <w:sz w:val="18"/>
          <w:szCs w:val="18"/>
          <w:color w:val="auto"/>
        </w:rPr>
      </w:pPr>
    </w:p>
    <w:p>
      <w:pPr>
        <w:ind w:left="5620" w:right="4360" w:hanging="5156"/>
        <w:spacing w:after="0" w:line="449" w:lineRule="auto"/>
        <w:tabs>
          <w:tab w:leader="none" w:pos="705"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Committee may, but is not required to, provide in any particular Award Agreement: 26</w:t>
      </w:r>
    </w:p>
    <w:p>
      <w:pPr>
        <w:sectPr>
          <w:pgSz w:w="11900" w:h="16838" w:orient="portrait"/>
          <w:cols w:equalWidth="0" w:num="1">
            <w:col w:w="11400"/>
          </w:cols>
          <w:pgMar w:left="240" w:top="270" w:right="259" w:bottom="1440" w:gutter="0" w:footer="0" w:header="0"/>
        </w:sectPr>
      </w:pPr>
    </w:p>
    <w:bookmarkStart w:id="31" w:name="page32"/>
    <w:bookmarkEnd w:id="31"/>
    <w:p>
      <w:pPr>
        <w:ind w:left="-60" w:firstLine="921"/>
        <w:spacing w:after="0" w:line="255" w:lineRule="auto"/>
        <w:tabs>
          <w:tab w:leader="none" w:pos="1068"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 Change in Control, notwithstanding any provision of the Plan or any applicable Award Agreement to the contrary, and either in or not in combination with another event such as a termination of the applicable Participant by the Company without Cause, all Options and SARs subject to such Award shall become immediately exercisable with respect to 100 percent of the shares subject to such Option or SAR, and/or that the Restricted Period shall expire immediately with respect to 100 percent of such shares of Restricted Stock or Restricted Stock Units subject to such Award (including a waiver of any applicable Performance Goals) and, to the extent practicable, such acceleration of exercisability and expiration of the Restricted Period (as applicable) shall occur in a manner and at a time which allows affected Participants the ability to participate in the Change in Control transaction with respect to the Stock subject to their Awards.</w:t>
      </w:r>
    </w:p>
    <w:p>
      <w:pPr>
        <w:spacing w:after="0" w:line="81" w:lineRule="exact"/>
        <w:rPr>
          <w:rFonts w:ascii="Arial" w:cs="Arial" w:eastAsia="Arial" w:hAnsi="Arial"/>
          <w:sz w:val="18"/>
          <w:szCs w:val="18"/>
          <w:color w:val="auto"/>
        </w:rPr>
      </w:pPr>
    </w:p>
    <w:p>
      <w:pPr>
        <w:ind w:left="-60" w:right="20" w:firstLine="921"/>
        <w:spacing w:after="0" w:line="297" w:lineRule="auto"/>
        <w:tabs>
          <w:tab w:leader="none" w:pos="1118" w:val="left"/>
        </w:tabs>
        <w:numPr>
          <w:ilvl w:val="1"/>
          <w:numId w:val="51"/>
        </w:numPr>
        <w:rPr>
          <w:rFonts w:ascii="Arial" w:cs="Arial" w:eastAsia="Arial" w:hAnsi="Arial"/>
          <w:sz w:val="16"/>
          <w:szCs w:val="16"/>
          <w:color w:val="auto"/>
        </w:rPr>
      </w:pPr>
      <w:r>
        <w:rPr>
          <w:rFonts w:ascii="Arial" w:cs="Arial" w:eastAsia="Arial" w:hAnsi="Arial"/>
          <w:sz w:val="16"/>
          <w:szCs w:val="16"/>
          <w:color w:val="auto"/>
        </w:rPr>
        <w:t>In the event of a Change in Control, all incomplete Performance Periods in respect of such Award in effect on the date the Change in Control occurs shall end on the date of such change, and the Committee shall (A) determine the extent to which Performance Goals with respect to each such Award Period have been met based upon such audited or unaudited financial information then available as it deems relevant, (B) cause to be paid to the applicable Participant partial or full Awards with respect to Performance Goals for each such Award Period based upon the Committee’s determination of the degree of attainment of Performance Goals, and (C) cause the Award, if previously deferred, to be settled in full as soon as possible.</w:t>
      </w:r>
    </w:p>
    <w:p>
      <w:pPr>
        <w:spacing w:after="0" w:line="50" w:lineRule="exact"/>
        <w:rPr>
          <w:rFonts w:ascii="Arial" w:cs="Arial" w:eastAsia="Arial" w:hAnsi="Arial"/>
          <w:sz w:val="16"/>
          <w:szCs w:val="16"/>
          <w:color w:val="auto"/>
        </w:rPr>
      </w:pPr>
    </w:p>
    <w:p>
      <w:pPr>
        <w:ind w:left="-60" w:firstLine="464"/>
        <w:spacing w:after="0" w:line="264" w:lineRule="auto"/>
        <w:tabs>
          <w:tab w:leader="none" w:pos="6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addition, in the event of a Change in Control, the Committee may in its discretion and upon at least 10 days’ advance notice to the affected persons, cancel any outstanding Awards and pay to the holders thereof, in cash or stock, or any combination thereof, the value of such Awards based upon the price per share of Stock received or to be received by other stockholders of the Company in the event.</w:t>
      </w:r>
    </w:p>
    <w:p>
      <w:pPr>
        <w:spacing w:after="0" w:line="73" w:lineRule="exact"/>
        <w:rPr>
          <w:rFonts w:ascii="Arial" w:cs="Arial" w:eastAsia="Arial" w:hAnsi="Arial"/>
          <w:sz w:val="18"/>
          <w:szCs w:val="18"/>
          <w:color w:val="auto"/>
        </w:rPr>
      </w:pPr>
    </w:p>
    <w:p>
      <w:pPr>
        <w:ind w:left="-60" w:right="360" w:firstLine="464"/>
        <w:spacing w:after="0" w:line="302" w:lineRule="auto"/>
        <w:tabs>
          <w:tab w:leader="none" w:pos="64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Participants’ rights under the Plan in any agreement or plan which it may enter into or adopt to effect any such merger, consolidation, reorganization or transfer of assets.</w:t>
      </w:r>
    </w:p>
    <w:p>
      <w:pPr>
        <w:spacing w:after="0" w:line="46" w:lineRule="exact"/>
        <w:rPr>
          <w:rFonts w:ascii="Arial" w:cs="Arial" w:eastAsia="Arial" w:hAnsi="Arial"/>
          <w:sz w:val="16"/>
          <w:szCs w:val="16"/>
          <w:color w:val="auto"/>
        </w:rPr>
      </w:pPr>
    </w:p>
    <w:p>
      <w:pPr>
        <w:ind w:left="-60" w:right="40" w:firstLine="464"/>
        <w:spacing w:after="0" w:line="312" w:lineRule="auto"/>
        <w:tabs>
          <w:tab w:leader="none" w:pos="651"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(i) within 12 months following a Change in Control or (ii) in contemplation of a Change in Control, a Senior Participant’s employment with the Company or any Affiliate is terminated by the Company or an Affiliate without Cause, all Awards held by such Senior Participant, irrespective of the vesting schedule, shall become fully vested and immediately exercisable and, if applicable, the Restricted Period shall end at the time of such termination.</w:t>
      </w:r>
    </w:p>
    <w:p>
      <w:pPr>
        <w:spacing w:after="0" w:line="38" w:lineRule="exact"/>
        <w:rPr>
          <w:rFonts w:ascii="Arial" w:cs="Arial" w:eastAsia="Arial" w:hAnsi="Arial"/>
          <w:sz w:val="16"/>
          <w:szCs w:val="16"/>
          <w:color w:val="auto"/>
        </w:rPr>
      </w:pPr>
    </w:p>
    <w:p>
      <w:pPr>
        <w:ind w:left="-60" w:right="80" w:firstLine="464"/>
        <w:spacing w:after="0" w:line="264" w:lineRule="auto"/>
        <w:tabs>
          <w:tab w:leader="none" w:pos="641"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a Change in Control the vesting and exercisability of all Awards outstanding under the Plan held by Vice President Participants shall be such that any Award that would have vested in the one calendar year period following the Change in Control shall automatically become fully vested and exercisable and, if applicable, the Restricted Period shall end immediately prior to the Change in Control.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300" w:top="274" w:right="299" w:bottom="1440" w:gutter="0" w:footer="0" w:header="0"/>
        </w:sectPr>
      </w:pPr>
    </w:p>
    <w:bookmarkStart w:id="32" w:name="page33"/>
    <w:bookmarkEnd w:id="32"/>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Nonexclusivity of the Plan</w:t>
      </w:r>
    </w:p>
    <w:p>
      <w:pPr>
        <w:spacing w:after="0" w:line="121"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Neither the adoption of this Plan by the Board nor the submission of this Plan to the stockholders of the Company for approval shall be construed as creating any limitations on the power of the Board to adopt such other incentive arrangements as it may deem desirable, including, without limitation, the granting of stock options otherwise than under this Plan, and such arrangements may be either applicable generally or only in specific cases.</w:t>
      </w:r>
    </w:p>
    <w:p>
      <w:pPr>
        <w:spacing w:after="0" w:line="291"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p>
    <w:p>
      <w:pPr>
        <w:spacing w:after="0" w:line="117" w:lineRule="exact"/>
        <w:rPr>
          <w:rFonts w:ascii="Arial" w:cs="Arial" w:eastAsia="Arial" w:hAnsi="Arial"/>
          <w:sz w:val="18"/>
          <w:szCs w:val="18"/>
          <w:color w:val="auto"/>
        </w:rPr>
      </w:pPr>
    </w:p>
    <w:p>
      <w:pPr>
        <w:ind w:firstLine="464"/>
        <w:spacing w:after="0" w:line="291" w:lineRule="auto"/>
        <w:tabs>
          <w:tab w:leader="none" w:pos="701" w:val="left"/>
        </w:tabs>
        <w:numPr>
          <w:ilvl w:val="1"/>
          <w:numId w:val="54"/>
        </w:numPr>
        <w:rPr>
          <w:rFonts w:ascii="Arial" w:cs="Arial" w:eastAsia="Arial" w:hAnsi="Arial"/>
          <w:sz w:val="16"/>
          <w:szCs w:val="16"/>
          <w:color w:val="auto"/>
        </w:rPr>
      </w:pPr>
      <w:r>
        <w:rPr>
          <w:rFonts w:ascii="Arial" w:cs="Arial" w:eastAsia="Arial" w:hAnsi="Arial"/>
          <w:sz w:val="16"/>
          <w:szCs w:val="16"/>
          <w:b w:val="1"/>
          <w:bCs w:val="1"/>
          <w:color w:val="auto"/>
        </w:rPr>
        <w:t>Amendment and Termination of the Plan</w:t>
      </w:r>
      <w:r>
        <w:rPr>
          <w:rFonts w:ascii="Arial" w:cs="Arial" w:eastAsia="Arial" w:hAnsi="Arial"/>
          <w:sz w:val="16"/>
          <w:szCs w:val="16"/>
          <w:color w:val="auto"/>
        </w:rPr>
        <w:t>. The Board may amend, alter, suspend, discontinue, or terminate the Plan or any portion thereof at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alteration, suspension, discontinuation or termination shall be made without stockholder approval if such approval is necessary to comply with any tax or regulatory requirement applicable to the Plan (including as necessary to comply with any applicable stock exchange listing requirement or to prevent the Company from being denied a tax deduction on account of Section 162(m) of the Code);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such amendment, alteration, suspension, discontinuance or termination that would impair the rights of any Participant or any holder or beneficiary of any Award theretofore granted shall not to that extent be effective without the consent of the affected Participant, holder or beneficiary. The termination date of the Plan, following which no Awards may be granted hereunder, the tenth anniversary of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that such termination shall not affect Awards then outstanding, and the terms and conditions of the Plan shall continue to apply to such Awards.</w:t>
      </w:r>
    </w:p>
    <w:p>
      <w:pPr>
        <w:spacing w:after="0" w:line="52" w:lineRule="exact"/>
        <w:rPr>
          <w:rFonts w:ascii="Arial" w:cs="Arial" w:eastAsia="Arial" w:hAnsi="Arial"/>
          <w:sz w:val="16"/>
          <w:szCs w:val="16"/>
          <w:color w:val="auto"/>
        </w:rPr>
      </w:pPr>
    </w:p>
    <w:p>
      <w:pPr>
        <w:ind w:right="20" w:firstLine="464"/>
        <w:spacing w:after="0" w:line="289" w:lineRule="auto"/>
        <w:tabs>
          <w:tab w:leader="none" w:pos="711" w:val="left"/>
        </w:tabs>
        <w:numPr>
          <w:ilvl w:val="1"/>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Amendment of Award Agreements. </w:t>
      </w:r>
      <w:r>
        <w:rPr>
          <w:rFonts w:ascii="Arial" w:cs="Arial" w:eastAsia="Arial" w:hAnsi="Arial"/>
          <w:sz w:val="16"/>
          <w:szCs w:val="16"/>
          <w:color w:val="auto"/>
        </w:rPr>
        <w:t>The Committee may, to the extent consistent with the terms of any applicable Award Agreement, waive any</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impair the rights of any Participant or any holder or beneficiary of any Award theretofore granted shall not to that extent be effective without the consent of the affected Participant, holder or beneficiary; and provided further that, other than in connection with an equitable adjustment under Section 13 or a Change in Control, without stockholder approval, (i) no amendment or modification may reduce the Option Price of any Option or the Strike Price of any SAR, (ii) the Committee may not cancel any outstanding Option or SAR and replace it with a new Option or SAR (with a lower Option Price or Strike Price, as the case may be) in a manner which would either (A) (if the Company is subject to the reporting requirement of the Exchange Act) be reportable on the Company’s proxy statement as Options which have been “repriced” (as such term is used in Item 402 of Regulation S-K promulgated under the Exchange Act), or (B) result in any Option being accounted for under the “variable” method for financial statement reporting purposes and (iii) the Committee may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0" w:right="279" w:bottom="1440" w:gutter="0" w:footer="0" w:header="0"/>
        </w:sectPr>
      </w:pPr>
    </w:p>
    <w:bookmarkStart w:id="33" w:name="page34"/>
    <w:bookmarkEnd w:id="3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take any other action which is considered a “repricing” for purposes of the stockholder approval rules of the applicable stock exchange on which the Stock is listed, if any. In no event may the Company buyout for cash any Option or SAR whose Option Price or Strike Price (as applicable) on the date of purchase exceeds the Fair Market Value of the Company’s Stock.</w:t>
      </w:r>
    </w:p>
    <w:p>
      <w:pPr>
        <w:spacing w:after="0" w:line="69" w:lineRule="exact"/>
        <w:rPr>
          <w:sz w:val="20"/>
          <w:szCs w:val="20"/>
          <w:color w:val="auto"/>
        </w:rPr>
      </w:pPr>
    </w:p>
    <w:p>
      <w:pPr>
        <w:ind w:right="120" w:firstLine="464"/>
        <w:spacing w:after="0" w:line="303" w:lineRule="auto"/>
        <w:tabs>
          <w:tab w:leader="none" w:pos="701" w:val="left"/>
        </w:tabs>
        <w:numPr>
          <w:ilvl w:val="1"/>
          <w:numId w:val="55"/>
        </w:numPr>
        <w:rPr>
          <w:rFonts w:ascii="Arial" w:cs="Arial" w:eastAsia="Arial" w:hAnsi="Arial"/>
          <w:sz w:val="16"/>
          <w:szCs w:val="16"/>
          <w:color w:val="auto"/>
        </w:rPr>
      </w:pPr>
      <w:r>
        <w:rPr>
          <w:rFonts w:ascii="Arial" w:cs="Arial" w:eastAsia="Arial" w:hAnsi="Arial"/>
          <w:sz w:val="16"/>
          <w:szCs w:val="16"/>
          <w:b w:val="1"/>
          <w:bCs w:val="1"/>
          <w:color w:val="auto"/>
        </w:rPr>
        <w:t>Section 162(m) Reapproval</w:t>
      </w:r>
      <w:r>
        <w:rPr>
          <w:rFonts w:ascii="Arial" w:cs="Arial" w:eastAsia="Arial" w:hAnsi="Arial"/>
          <w:sz w:val="16"/>
          <w:szCs w:val="16"/>
          <w:color w:val="auto"/>
        </w:rPr>
        <w:t>. If so determined by the Committee, the provisions of the Plan regarding Performance Compensation Awards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disclosed and reapproved by stockholders of the Company no later than the first stockholder meeting that occurs in the fifth year following the year that stockholders previously approved such provisions in order for certain Awards to be exempt from the deduction limitations of Section 162(m) of the Code. Nothing in this Section 16(c), however, shall affect the validity of Awards granted after such time if such stockholder approval has not been obtained.</w:t>
      </w:r>
    </w:p>
    <w:p>
      <w:pPr>
        <w:spacing w:after="0" w:line="299" w:lineRule="exact"/>
        <w:rPr>
          <w:rFonts w:ascii="Arial" w:cs="Arial" w:eastAsia="Arial" w:hAnsi="Arial"/>
          <w:sz w:val="16"/>
          <w:szCs w:val="16"/>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Compliance with Section 409A.</w:t>
      </w:r>
    </w:p>
    <w:p>
      <w:pPr>
        <w:spacing w:after="0" w:line="121" w:lineRule="exact"/>
        <w:rPr>
          <w:rFonts w:ascii="Arial" w:cs="Arial" w:eastAsia="Arial" w:hAnsi="Arial"/>
          <w:sz w:val="18"/>
          <w:szCs w:val="18"/>
          <w:color w:val="auto"/>
        </w:rPr>
      </w:pPr>
    </w:p>
    <w:p>
      <w:pPr>
        <w:ind w:right="40" w:firstLine="464"/>
        <w:spacing w:after="0" w:line="255" w:lineRule="auto"/>
        <w:tabs>
          <w:tab w:leader="none" w:pos="701" w:val="left"/>
        </w:tabs>
        <w:numPr>
          <w:ilvl w:val="1"/>
          <w:numId w:val="56"/>
        </w:numPr>
        <w:rPr>
          <w:rFonts w:ascii="Arial" w:cs="Arial" w:eastAsia="Arial" w:hAnsi="Arial"/>
          <w:sz w:val="18"/>
          <w:szCs w:val="18"/>
          <w:color w:val="auto"/>
        </w:rPr>
      </w:pPr>
      <w:r>
        <w:rPr>
          <w:rFonts w:ascii="Arial" w:cs="Arial" w:eastAsia="Arial" w:hAnsi="Arial"/>
          <w:sz w:val="18"/>
          <w:szCs w:val="18"/>
          <w:color w:val="auto"/>
        </w:rPr>
        <w:t>It is intended that any amounts payable under this Plan shall either be exempt from or comply with Section 409A of the Code (including the Treasury regulations and other published guidance relating thereto) so as not to subject a Participant to payment of any interest or additional tax imposed under Section 409A of the Code. To the extent that any amount payable under this Agreement would trigger the additional tax, penalty or interest imposed by Section 409A of the Code, this Plan shall be modified to avoid such additional tax, penalty or interest yet preserve (to the nearest extent reasonably possible) the intended benefit payable to the Participant. In no event shall the Company, any member of the Board of Directors, or any employee, agent or other service provider have any liability to any Participant for any tax, fine or penalty associated with any failure to comply with the requirements of Section 409A of the Code.</w:t>
      </w:r>
    </w:p>
    <w:p>
      <w:pPr>
        <w:spacing w:after="0" w:line="81" w:lineRule="exact"/>
        <w:rPr>
          <w:rFonts w:ascii="Arial" w:cs="Arial" w:eastAsia="Arial" w:hAnsi="Arial"/>
          <w:sz w:val="18"/>
          <w:szCs w:val="18"/>
          <w:color w:val="auto"/>
        </w:rPr>
      </w:pPr>
    </w:p>
    <w:p>
      <w:pPr>
        <w:ind w:right="40" w:firstLine="464"/>
        <w:spacing w:after="0" w:line="283" w:lineRule="auto"/>
        <w:tabs>
          <w:tab w:leader="none" w:pos="711" w:val="left"/>
        </w:tabs>
        <w:numPr>
          <w:ilvl w:val="1"/>
          <w:numId w:val="56"/>
        </w:numPr>
        <w:rPr>
          <w:rFonts w:ascii="Arial" w:cs="Arial" w:eastAsia="Arial" w:hAnsi="Arial"/>
          <w:sz w:val="16"/>
          <w:szCs w:val="16"/>
          <w:color w:val="auto"/>
        </w:rPr>
      </w:pPr>
      <w:r>
        <w:rPr>
          <w:rFonts w:ascii="Arial" w:cs="Arial" w:eastAsia="Arial" w:hAnsi="Arial"/>
          <w:sz w:val="16"/>
          <w:szCs w:val="16"/>
          <w:color w:val="auto"/>
        </w:rPr>
        <w:t>To the extent a payment or benefit is nonqualified deferred compensation subject to Section 409A of the Code, a termination of employment shall not be deemed to have occurred for purposes of any provision of this Plan or any Award Agreement providing for the payment of any amounts upon or following a termination of employment unless such termination is also a “separation from service” within the meaning of Section 409A of the Code and, for purposes of any such provision of this Plan and any Award Agreement, references to a “termination,” “termination of employment” or like terms shall mean “separation from service.” If a Participant is deemed on the date of a separation from service (within the meaning of Section 409A of the Code) to be a “specified employee” (within the meaning of that term under Section 409A(a)(2)(B) of the Code and determined using any identification methodology and procedure selected by the Company from time to time, or, if none, the default methodology and procedure specified under Section 409A of the Code), then with regard to any payment or the provision of any benefit that is “nonqualified deferred compensation” within the meaning of Code Section 409A and which is paid as a result of the Participant’s “separation from service,” such payment or benefit shall not be made or provided prior to the date which is the earlier of</w:t>
      </w:r>
    </w:p>
    <w:p>
      <w:pPr>
        <w:spacing w:after="0" w:line="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the expiration of the six-month period measured from the date of such “separation from service” of the Executive,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4" w:name="page35"/>
    <w:bookmarkEnd w:id="34"/>
    <w:p>
      <w:pPr>
        <w:ind w:right="100" w:firstLine="8"/>
        <w:spacing w:after="0" w:line="259" w:lineRule="auto"/>
        <w:tabs>
          <w:tab w:leader="none" w:pos="285"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of the Executive’s death (the “</w:t>
      </w:r>
      <w:r>
        <w:rPr>
          <w:rFonts w:ascii="Arial" w:cs="Arial" w:eastAsia="Arial" w:hAnsi="Arial"/>
          <w:sz w:val="18"/>
          <w:szCs w:val="18"/>
          <w:u w:val="single" w:color="auto"/>
          <w:color w:val="auto"/>
        </w:rPr>
        <w:t>Delay Period</w:t>
      </w:r>
      <w:r>
        <w:rPr>
          <w:rFonts w:ascii="Arial" w:cs="Arial" w:eastAsia="Arial" w:hAnsi="Arial"/>
          <w:sz w:val="18"/>
          <w:szCs w:val="18"/>
          <w:color w:val="auto"/>
        </w:rPr>
        <w:t>”). Upon the expiration of the Delay Period, all payments and benefits delayed pursuant to this clause (whether they would have otherwise been payable in a single sum or in installments in the absence of such delay) shall be paid or reimbursed to the Participant in a lump sum, and any remaining payments and benefits due under this Agreement shall be paid or provided in accordance with the normal payment dates specified for them herein.</w:t>
      </w:r>
    </w:p>
    <w:p>
      <w:pPr>
        <w:spacing w:after="0" w:line="78" w:lineRule="exact"/>
        <w:rPr>
          <w:rFonts w:ascii="Arial" w:cs="Arial" w:eastAsia="Arial" w:hAnsi="Arial"/>
          <w:sz w:val="18"/>
          <w:szCs w:val="18"/>
          <w:color w:val="auto"/>
        </w:rPr>
      </w:pPr>
    </w:p>
    <w:p>
      <w:pPr>
        <w:ind w:firstLine="464"/>
        <w:spacing w:after="0" w:line="259" w:lineRule="auto"/>
        <w:tabs>
          <w:tab w:leader="none" w:pos="701" w:val="left"/>
        </w:tabs>
        <w:numPr>
          <w:ilvl w:val="1"/>
          <w:numId w:val="57"/>
        </w:numPr>
        <w:rPr>
          <w:rFonts w:ascii="Arial" w:cs="Arial" w:eastAsia="Arial" w:hAnsi="Arial"/>
          <w:sz w:val="18"/>
          <w:szCs w:val="18"/>
          <w:color w:val="auto"/>
        </w:rPr>
      </w:pPr>
      <w:r>
        <w:rPr>
          <w:rFonts w:ascii="Arial" w:cs="Arial" w:eastAsia="Arial" w:hAnsi="Arial"/>
          <w:sz w:val="18"/>
          <w:szCs w:val="18"/>
          <w:color w:val="auto"/>
        </w:rPr>
        <w:t>For purposes of Section 409A of the Code, the Participant’s right to receive any installment payments pursuant to this Plan or any Award Agreement shall be treated as a right to receive a series of separate and distinct payments. Whenever a payment under the Plan or any Award Agreement specifies a payment period with reference to a number of days (e.g., “payment shall be made within thirty days following the date of termination”), the actual date of payment within the specified period shall be within the sole discretion of the Company.</w:t>
      </w:r>
    </w:p>
    <w:p>
      <w:pPr>
        <w:spacing w:after="0" w:line="78" w:lineRule="exact"/>
        <w:rPr>
          <w:rFonts w:ascii="Arial" w:cs="Arial" w:eastAsia="Arial" w:hAnsi="Arial"/>
          <w:sz w:val="18"/>
          <w:szCs w:val="18"/>
          <w:color w:val="auto"/>
        </w:rPr>
      </w:pPr>
    </w:p>
    <w:p>
      <w:pPr>
        <w:ind w:right="60" w:firstLine="464"/>
        <w:spacing w:after="0" w:line="293" w:lineRule="auto"/>
        <w:tabs>
          <w:tab w:leader="none" w:pos="711" w:val="left"/>
        </w:tabs>
        <w:numPr>
          <w:ilvl w:val="1"/>
          <w:numId w:val="57"/>
        </w:numPr>
        <w:rPr>
          <w:rFonts w:ascii="Arial" w:cs="Arial" w:eastAsia="Arial" w:hAnsi="Arial"/>
          <w:sz w:val="16"/>
          <w:szCs w:val="16"/>
          <w:color w:val="auto"/>
        </w:rPr>
      </w:pPr>
      <w:r>
        <w:rPr>
          <w:rFonts w:ascii="Arial" w:cs="Arial" w:eastAsia="Arial" w:hAnsi="Arial"/>
          <w:sz w:val="16"/>
          <w:szCs w:val="16"/>
          <w:color w:val="auto"/>
        </w:rPr>
        <w:t>With regard to any provision herein that provides for reimbursement of costs and expenses or in-kind benefits, except as permitted by Section 409A of the Code,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provided, that the foregoing clause (ii) shall not be violated with regard to expenses reimbursed under any arrangement covered by Section 105(b) of the Code solely because such expenses are subject to a limit related to the period the arrangement is in effect; and (iii) such payments shall be made on or before the last day of the Participant’s taxable year following the taxable year in which the expense was incurred.</w:t>
      </w:r>
    </w:p>
    <w:p>
      <w:pPr>
        <w:spacing w:after="0" w:line="30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Forfeiture and Recoupment.</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Without limiting in any way the generality of the Committee’s power to specify any terms and conditions of an Award consistent with law, and for greater clarity, the Committee may specify in an Award Agreement that the Participant’s rights, payments and benefits with respect to an Award, including any payment of Shares received upon exercise or in satisfaction of an Award under the Plan shall be subject to reduction, cancellation, forfeiture or recoupment upon the occurrence of certain specified events, in addition to any otherwise applicable vesting or performance conditions, without limit as to time. Such events shall include, but not be limited to, failure to accept the terms of the Award Agreement, termination of service under certain or all circumstances, violation of material Company policies, misstatement of financial or other material information about the Company, fraud, misconduct, breach of noncompetition, confidentiality, nonsolicitation, noninterference, corporate property protection, or other agreements that may apply to the Participant, or other conduct by the Participant that the Committee determines is detrimental to the business or reputation of the Company and its Affiliates, including facts and circumstances discovered after termination of service. Awards granted under the Plan shall be subject to any compensation recovery policy or minimum stock holding period requirement as may be adopted or amended by the Company from time to time.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5" w:name="page36"/>
    <w:bookmarkEnd w:id="35"/>
    <w:p>
      <w:pPr>
        <w:jc w:val="both"/>
        <w:ind w:left="5000"/>
        <w:spacing w:after="0"/>
        <w:tabs>
          <w:tab w:leader="none" w:pos="5640" w:val="left"/>
          <w:tab w:leader="none" w:pos="6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adopted by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 as of April 15, 2015.</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decimal"/>
      <w:start w:val="1"/>
    </w:lvl>
  </w:abstractNum>
  <w:abstractNum w:abstractNumId="2">
    <w:nsid w:val="1E7FF521"/>
    <w:multiLevelType w:val="hybridMultilevel"/>
    <w:lvl w:ilvl="0">
      <w:lvlJc w:val="left"/>
      <w:lvlText w:val="%1."/>
      <w:numFmt w:val="decimal"/>
      <w:start w:val="2"/>
    </w:lvl>
    <w:lvl w:ilvl="1">
      <w:lvlJc w:val="left"/>
      <w:lvlText w:val="(%2)"/>
      <w:numFmt w:val="lowerLetter"/>
      <w:start w:val="1"/>
    </w:lvl>
  </w:abstractNum>
  <w:abstractNum w:abstractNumId="3">
    <w:nsid w:val="7C3DBD3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
    <w:nsid w:val="737B8DDC"/>
    <w:multiLevelType w:val="hybridMultilevel"/>
    <w:lvl w:ilvl="0">
      <w:lvlJc w:val="left"/>
      <w:lvlText w:val="(%1)"/>
      <w:numFmt w:val="lowerLetter"/>
      <w:start w:val="9"/>
    </w:lvl>
    <w:lvl w:ilvl="1">
      <w:lvlJc w:val="left"/>
      <w:lvlText w:val="(%2)"/>
      <w:numFmt w:val="lowerLetter"/>
      <w:start w:val="6"/>
    </w:lvl>
    <w:lvl w:ilvl="2">
      <w:lvlJc w:val="left"/>
      <w:lvlText w:val="(%3)"/>
      <w:numFmt w:val="lowerLetter"/>
      <w:start w:val="9"/>
    </w:lvl>
  </w:abstractNum>
  <w:abstractNum w:abstractNumId="5">
    <w:nsid w:val="6CEAF087"/>
    <w:multiLevelType w:val="hybridMultilevel"/>
    <w:lvl w:ilvl="0">
      <w:lvlJc w:val="left"/>
      <w:lvlText w:val="(%1)"/>
      <w:numFmt w:val="lowerRoman"/>
      <w:start w:val="2"/>
    </w:lvl>
  </w:abstractNum>
  <w:abstractNum w:abstractNumId="6">
    <w:nsid w:val="22221A70"/>
    <w:multiLevelType w:val="hybridMultilevel"/>
    <w:lvl w:ilvl="0">
      <w:lvlJc w:val="left"/>
      <w:lvlText w:val="(%1)"/>
      <w:numFmt w:val="lowerLetter"/>
      <w:start w:val="7"/>
    </w:lvl>
  </w:abstractNum>
  <w:abstractNum w:abstractNumId="7">
    <w:nsid w:val="4516DDE9"/>
    <w:multiLevelType w:val="hybridMultilevel"/>
    <w:lvl w:ilvl="0">
      <w:lvlJc w:val="left"/>
      <w:lvlText w:val="%1"/>
      <w:numFmt w:val="lowerLetter"/>
      <w:start w:val="1"/>
    </w:lvl>
    <w:lvl w:ilvl="1">
      <w:lvlJc w:val="left"/>
      <w:lvlText w:val="(%2)"/>
      <w:numFmt w:val="lowerLetter"/>
      <w:start w:val="16"/>
    </w:lvl>
  </w:abstractNum>
  <w:abstractNum w:abstractNumId="8">
    <w:nsid w:val="3006C83E"/>
    <w:multiLevelType w:val="hybridMultilevel"/>
    <w:lvl w:ilvl="0">
      <w:lvlJc w:val="left"/>
      <w:lvlText w:val="(%1)"/>
      <w:numFmt w:val="lowerLetter"/>
      <w:start w:val="61"/>
    </w:lvl>
    <w:lvl w:ilvl="1">
      <w:lvlJc w:val="left"/>
      <w:lvlText w:val="(%2)"/>
      <w:numFmt w:val="lowerLetter"/>
      <w:start w:val="17"/>
    </w:lvl>
  </w:abstractNum>
  <w:abstractNum w:abstractNumId="9">
    <w:nsid w:val="614FD4A1"/>
    <w:multiLevelType w:val="hybridMultilevel"/>
    <w:lvl w:ilvl="0">
      <w:lvlJc w:val="left"/>
      <w:lvlText w:val="(%1)"/>
      <w:numFmt w:val="lowerLetter"/>
      <w:start w:val="25"/>
    </w:lvl>
  </w:abstractNum>
  <w:abstractNum w:abstractNumId="10">
    <w:nsid w:val="419AC241"/>
    <w:multiLevelType w:val="hybridMultilevel"/>
    <w:lvl w:ilvl="0">
      <w:lvlJc w:val="left"/>
      <w:lvlText w:val="(%1)"/>
      <w:numFmt w:val="lowerLetter"/>
      <w:start w:val="27"/>
    </w:lvl>
    <w:lvl w:ilvl="1">
      <w:lvlJc w:val="left"/>
      <w:lvlText w:val="(%2)"/>
      <w:numFmt w:val="lowerRoman"/>
      <w:start w:val="1"/>
    </w:lvl>
  </w:abstractNum>
  <w:abstractNum w:abstractNumId="11">
    <w:nsid w:val="5577F8E1"/>
    <w:multiLevelType w:val="hybridMultilevel"/>
    <w:lvl w:ilvl="0">
      <w:lvlJc w:val="left"/>
      <w:lvlText w:val="(%1)"/>
      <w:numFmt w:val="lowerRoman"/>
      <w:start w:val="14"/>
    </w:lvl>
  </w:abstractNum>
  <w:abstractNum w:abstractNumId="12">
    <w:nsid w:val="440BADFC"/>
    <w:multiLevelType w:val="hybridMultilevel"/>
    <w:lvl w:ilvl="0">
      <w:lvlJc w:val="left"/>
      <w:lvlText w:val="(%1)"/>
      <w:numFmt w:val="lowerLetter"/>
      <w:start w:val="29"/>
    </w:lvl>
  </w:abstractNum>
  <w:abstractNum w:abstractNumId="13">
    <w:nsid w:val="5072367"/>
    <w:multiLevelType w:val="hybridMultilevel"/>
    <w:lvl w:ilvl="0">
      <w:lvlJc w:val="left"/>
      <w:lvlText w:val="%1"/>
      <w:numFmt w:val="lowerLetter"/>
      <w:start w:val="1"/>
    </w:lvl>
    <w:lvl w:ilvl="1">
      <w:lvlJc w:val="left"/>
      <w:lvlText w:val="(%2)"/>
      <w:numFmt w:val="lowerRoman"/>
      <w:start w:val="1"/>
    </w:lvl>
  </w:abstractNum>
  <w:abstractNum w:abstractNumId="14">
    <w:nsid w:val="3804823E"/>
    <w:multiLevelType w:val="hybridMultilevel"/>
    <w:lvl w:ilvl="0">
      <w:lvlJc w:val="left"/>
      <w:lvlText w:val="(%1)"/>
      <w:numFmt w:val="lowerLetter"/>
      <w:start w:val="31"/>
    </w:lvl>
    <w:lvl w:ilvl="1">
      <w:lvlJc w:val="left"/>
      <w:lvlText w:val="%2"/>
      <w:numFmt w:val="lowerRoman"/>
      <w:start w:val="1"/>
    </w:lvl>
  </w:abstractNum>
  <w:abstractNum w:abstractNumId="15">
    <w:nsid w:val="77465F01"/>
    <w:multiLevelType w:val="hybridMultilevel"/>
    <w:lvl w:ilvl="0">
      <w:lvlJc w:val="left"/>
      <w:lvlText w:val="(%1)"/>
      <w:numFmt w:val="lowerLetter"/>
      <w:start w:val="35"/>
    </w:lvl>
  </w:abstractNum>
  <w:abstractNum w:abstractNumId="16">
    <w:nsid w:val="7724C67E"/>
    <w:multiLevelType w:val="hybridMultilevel"/>
    <w:lvl w:ilvl="0">
      <w:lvlJc w:val="left"/>
      <w:lvlText w:val="%1."/>
      <w:numFmt w:val="decimal"/>
      <w:start w:val="4"/>
    </w:lvl>
    <w:lvl w:ilvl="1">
      <w:lvlJc w:val="left"/>
      <w:lvlText w:val="(%2)"/>
      <w:numFmt w:val="lowerLetter"/>
      <w:start w:val="1"/>
    </w:lvl>
  </w:abstractNum>
  <w:abstractNum w:abstractNumId="17">
    <w:nsid w:val="5C482A97"/>
    <w:multiLevelType w:val="hybridMultilevel"/>
    <w:lvl w:ilvl="0">
      <w:lvlJc w:val="left"/>
      <w:lvlText w:val="%1"/>
      <w:numFmt w:val="decimal"/>
      <w:start w:val="1"/>
    </w:lvl>
    <w:lvl w:ilvl="1">
      <w:lvlJc w:val="left"/>
      <w:lvlText w:val="(%2)"/>
      <w:numFmt w:val="lowerLetter"/>
      <w:start w:val="4"/>
    </w:lvl>
  </w:abstractNum>
  <w:abstractNum w:abstractNumId="18">
    <w:nsid w:val="2463B9EA"/>
    <w:multiLevelType w:val="hybridMultilevel"/>
    <w:lvl w:ilvl="0">
      <w:lvlJc w:val="left"/>
      <w:lvlText w:val="%1."/>
      <w:numFmt w:val="decimal"/>
      <w:start w:val="5"/>
    </w:lvl>
    <w:lvl w:ilvl="1">
      <w:lvlJc w:val="left"/>
      <w:lvlText w:val="%2"/>
      <w:numFmt w:val="lowerLetter"/>
      <w:start w:val="1"/>
    </w:lvl>
  </w:abstractNum>
  <w:abstractNum w:abstractNumId="19">
    <w:nsid w:val="5E884ADC"/>
    <w:multiLevelType w:val="hybridMultilevel"/>
    <w:lvl w:ilvl="0">
      <w:lvlJc w:val="left"/>
      <w:lvlText w:val="(%1)"/>
      <w:numFmt w:val="lowerLetter"/>
      <w:start w:val="1"/>
    </w:lvl>
  </w:abstractNum>
  <w:abstractNum w:abstractNumId="20">
    <w:nsid w:val="51EAD36B"/>
    <w:multiLevelType w:val="hybridMultilevel"/>
    <w:lvl w:ilvl="0">
      <w:lvlJc w:val="left"/>
      <w:lvlText w:val="%1"/>
      <w:numFmt w:val="decimal"/>
      <w:start w:val="1"/>
    </w:lvl>
    <w:lvl w:ilvl="1">
      <w:lvlJc w:val="left"/>
      <w:lvlText w:val="(%2)"/>
      <w:numFmt w:val="lowerLetter"/>
      <w:start w:val="4"/>
    </w:lvl>
  </w:abstractNum>
  <w:abstractNum w:abstractNumId="21">
    <w:nsid w:val="2D517796"/>
    <w:multiLevelType w:val="hybridMultilevel"/>
    <w:lvl w:ilvl="0">
      <w:lvlJc w:val="left"/>
      <w:lvlText w:val="%1."/>
      <w:numFmt w:val="decimal"/>
      <w:start w:val="6"/>
    </w:lvl>
    <w:lvl w:ilvl="1">
      <w:lvlJc w:val="left"/>
      <w:lvlText w:val="%2"/>
      <w:numFmt w:val="lowerLetter"/>
      <w:start w:val="1"/>
    </w:lvl>
  </w:abstractNum>
  <w:abstractNum w:abstractNumId="22">
    <w:nsid w:val="580BD78F"/>
    <w:multiLevelType w:val="hybridMultilevel"/>
    <w:lvl w:ilvl="0">
      <w:lvlJc w:val="left"/>
      <w:lvlText w:val="%1."/>
      <w:numFmt w:val="decimal"/>
      <w:start w:val="7"/>
    </w:lvl>
  </w:abstractNum>
  <w:abstractNum w:abstractNumId="23">
    <w:nsid w:val="153EA438"/>
    <w:multiLevelType w:val="hybridMultilevel"/>
    <w:lvl w:ilvl="0">
      <w:lvlJc w:val="left"/>
      <w:lvlText w:val="(%1)"/>
      <w:numFmt w:val="lowerLetter"/>
      <w:start w:val="1"/>
    </w:lvl>
  </w:abstractNum>
  <w:abstractNum w:abstractNumId="24">
    <w:nsid w:val="3855585C"/>
    <w:multiLevelType w:val="hybridMultilevel"/>
    <w:lvl w:ilvl="0">
      <w:lvlJc w:val="left"/>
      <w:lvlText w:val="(%1)"/>
      <w:numFmt w:val="lowerLetter"/>
      <w:start w:val="2"/>
    </w:lvl>
    <w:lvl w:ilvl="1">
      <w:lvlJc w:val="left"/>
      <w:lvlText w:val="(%2)"/>
      <w:numFmt w:val="lowerRoman"/>
      <w:start w:val="1"/>
    </w:lvl>
  </w:abstractNum>
  <w:abstractNum w:abstractNumId="25">
    <w:nsid w:val="70A64E2A"/>
    <w:multiLevelType w:val="hybridMultilevel"/>
    <w:lvl w:ilvl="0">
      <w:lvlJc w:val="left"/>
      <w:lvlText w:val="(%1)"/>
      <w:numFmt w:val="lowerRoman"/>
      <w:start w:val="3"/>
    </w:lvl>
  </w:abstractNum>
  <w:abstractNum w:abstractNumId="26">
    <w:nsid w:val="6A2342EC"/>
    <w:multiLevelType w:val="hybridMultilevel"/>
    <w:lvl w:ilvl="0">
      <w:lvlJc w:val="left"/>
      <w:lvlText w:val="%1"/>
      <w:numFmt w:val="decimal"/>
      <w:start w:val="1"/>
    </w:lvl>
    <w:lvl w:ilvl="1">
      <w:lvlJc w:val="left"/>
      <w:lvlText w:val="(%2)"/>
      <w:numFmt w:val="lowerLetter"/>
      <w:start w:val="6"/>
    </w:lvl>
  </w:abstractNum>
  <w:abstractNum w:abstractNumId="27">
    <w:nsid w:val="2A487CB0"/>
    <w:multiLevelType w:val="hybridMultilevel"/>
    <w:lvl w:ilvl="0">
      <w:lvlJc w:val="left"/>
      <w:lvlText w:val="%1."/>
      <w:numFmt w:val="decimal"/>
      <w:start w:val="8"/>
    </w:lvl>
    <w:lvl w:ilvl="1">
      <w:lvlJc w:val="left"/>
      <w:lvlText w:val="%2"/>
      <w:numFmt w:val="lowerLetter"/>
      <w:start w:val="1"/>
    </w:lvl>
  </w:abstractNum>
  <w:abstractNum w:abstractNumId="28">
    <w:nsid w:val="1D4ED43B"/>
    <w:multiLevelType w:val="hybridMultilevel"/>
    <w:lvl w:ilvl="0">
      <w:lvlJc w:val="left"/>
      <w:lvlText w:val="(%1)"/>
      <w:numFmt w:val="lowerLetter"/>
      <w:start w:val="1"/>
    </w:lvl>
  </w:abstractNum>
  <w:abstractNum w:abstractNumId="29">
    <w:nsid w:val="725A06F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0">
    <w:nsid w:val="2CD89A3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1">
    <w:nsid w:val="57E4CCAF"/>
    <w:multiLevelType w:val="hybridMultilevel"/>
    <w:lvl w:ilvl="0">
      <w:lvlJc w:val="left"/>
      <w:lvlText w:val="%1"/>
      <w:numFmt w:val="lowerLetter"/>
      <w:start w:val="1"/>
    </w:lvl>
    <w:lvl w:ilvl="1">
      <w:lvlJc w:val="left"/>
      <w:lvlText w:val="(%2)"/>
      <w:numFmt w:val="lowerRoman"/>
      <w:start w:val="3"/>
    </w:lvl>
  </w:abstractNum>
  <w:abstractNum w:abstractNumId="32">
    <w:nsid w:val="7A6D8D3C"/>
    <w:multiLevelType w:val="hybridMultilevel"/>
    <w:lvl w:ilvl="0">
      <w:lvlJc w:val="left"/>
      <w:lvlText w:val="(%1)"/>
      <w:numFmt w:val="lowerLetter"/>
      <w:start w:val="2"/>
    </w:lvl>
    <w:lvl w:ilvl="1">
      <w:lvlJc w:val="left"/>
      <w:lvlText w:val="(%2)"/>
      <w:numFmt w:val="lowerRoman"/>
      <w:start w:val="1"/>
    </w:lvl>
  </w:abstractNum>
  <w:abstractNum w:abstractNumId="33">
    <w:nsid w:val="4B588F54"/>
    <w:multiLevelType w:val="hybridMultilevel"/>
    <w:lvl w:ilvl="0">
      <w:lvlJc w:val="left"/>
      <w:lvlText w:val="%1"/>
      <w:numFmt w:val="lowerLetter"/>
      <w:start w:val="1"/>
    </w:lvl>
    <w:lvl w:ilvl="1">
      <w:lvlJc w:val="left"/>
      <w:lvlText w:val="(%2)"/>
      <w:numFmt w:val="lowerLetter"/>
      <w:start w:val="61"/>
    </w:lvl>
  </w:abstractNum>
  <w:abstractNum w:abstractNumId="34">
    <w:nsid w:val="542289EC"/>
    <w:multiLevelType w:val="hybridMultilevel"/>
    <w:lvl w:ilvl="0">
      <w:lvlJc w:val="left"/>
      <w:lvlText w:val="(%1)"/>
      <w:numFmt w:val="lowerLetter"/>
      <w:start w:val="3"/>
    </w:lvl>
    <w:lvl w:ilvl="1">
      <w:lvlJc w:val="left"/>
      <w:lvlText w:val="%2"/>
      <w:numFmt w:val="lowerLetter"/>
      <w:start w:val="1"/>
    </w:lvl>
  </w:abstractNum>
  <w:abstractNum w:abstractNumId="35">
    <w:nsid w:val="6DE91B18"/>
    <w:multiLevelType w:val="hybridMultilevel"/>
    <w:lvl w:ilvl="0">
      <w:lvlJc w:val="left"/>
      <w:lvlText w:val="(%1)"/>
      <w:numFmt w:val="lowerLetter"/>
      <w:start w:val="5"/>
    </w:lvl>
  </w:abstractNum>
  <w:abstractNum w:abstractNumId="36">
    <w:nsid w:val="38437FDB"/>
    <w:multiLevelType w:val="hybridMultilevel"/>
    <w:lvl w:ilvl="0">
      <w:lvlJc w:val="left"/>
      <w:lvlText w:val="%1."/>
      <w:numFmt w:val="decimal"/>
      <w:start w:val="10"/>
    </w:lvl>
  </w:abstractNum>
  <w:abstractNum w:abstractNumId="37">
    <w:nsid w:val="7644A45C"/>
    <w:multiLevelType w:val="hybridMultilevel"/>
    <w:lvl w:ilvl="0">
      <w:lvlJc w:val="left"/>
      <w:lvlText w:val="%1."/>
      <w:numFmt w:val="decimal"/>
      <w:start w:val="11"/>
    </w:lvl>
    <w:lvl w:ilvl="1">
      <w:lvlJc w:val="left"/>
      <w:lvlText w:val="(%2)"/>
      <w:numFmt w:val="lowerLetter"/>
      <w:start w:val="1"/>
    </w:lvl>
  </w:abstractNum>
  <w:abstractNum w:abstractNumId="38">
    <w:nsid w:val="32FFF902"/>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39">
    <w:nsid w:val="684A48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40">
    <w:nsid w:val="579478FE"/>
    <w:multiLevelType w:val="hybridMultilevel"/>
    <w:lvl w:ilvl="0">
      <w:lvlJc w:val="left"/>
      <w:lvlText w:val="%1"/>
      <w:numFmt w:val="upperLetter"/>
      <w:start w:val="1"/>
    </w:lvl>
    <w:lvl w:ilvl="1">
      <w:lvlJc w:val="left"/>
      <w:lvlText w:val="(%2)"/>
      <w:numFmt w:val="lowerRoman"/>
      <w:start w:val="6"/>
    </w:lvl>
  </w:abstractNum>
  <w:abstractNum w:abstractNumId="41">
    <w:nsid w:val="749ABB43"/>
    <w:multiLevelType w:val="hybridMultilevel"/>
    <w:lvl w:ilvl="0">
      <w:lvlJc w:val="left"/>
      <w:lvlText w:val="(%1)"/>
      <w:numFmt w:val="upperLetter"/>
      <w:start w:val="2"/>
    </w:lvl>
    <w:lvl w:ilvl="1">
      <w:lvlJc w:val="left"/>
      <w:lvlText w:val="%2"/>
      <w:numFmt w:val="lowerRoman"/>
      <w:start w:val="1"/>
    </w:lvl>
  </w:abstractNum>
  <w:abstractNum w:abstractNumId="42">
    <w:nsid w:val="3DC240FB"/>
    <w:multiLevelType w:val="hybridMultilevel"/>
    <w:lvl w:ilvl="0">
      <w:lvlJc w:val="left"/>
      <w:lvlText w:val="%1."/>
      <w:numFmt w:val="decimal"/>
      <w:start w:val="12"/>
    </w:lvl>
    <w:lvl w:ilvl="1">
      <w:lvlJc w:val="left"/>
      <w:lvlText w:val="(%2)"/>
      <w:numFmt w:val="lowerLetter"/>
      <w:start w:val="1"/>
    </w:lvl>
  </w:abstractNum>
  <w:abstractNum w:abstractNumId="43">
    <w:nsid w:val="1BA026FA"/>
    <w:multiLevelType w:val="hybridMultilevel"/>
    <w:lvl w:ilvl="0">
      <w:lvlJc w:val="left"/>
      <w:lvlText w:val="(%1)"/>
      <w:numFmt w:val="lowerLetter"/>
      <w:start w:val="4"/>
    </w:lvl>
    <w:lvl w:ilvl="1">
      <w:lvlJc w:val="left"/>
      <w:lvlText w:val="(%2)"/>
      <w:numFmt w:val="lowerRoman"/>
      <w:start w:val="1"/>
    </w:lvl>
  </w:abstractNum>
  <w:abstractNum w:abstractNumId="44">
    <w:nsid w:val="79A1DEAA"/>
    <w:multiLevelType w:val="hybridMultilevel"/>
    <w:lvl w:ilvl="0">
      <w:lvlJc w:val="left"/>
      <w:lvlText w:val="(%1)"/>
      <w:numFmt w:val="lowerLetter"/>
      <w:start w:val="7"/>
    </w:lvl>
  </w:abstractNum>
  <w:abstractNum w:abstractNumId="45">
    <w:nsid w:val="75C6C33A"/>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46">
    <w:nsid w:val="12E685FB"/>
    <w:multiLevelType w:val="hybridMultilevel"/>
    <w:lvl w:ilvl="0">
      <w:lvlJc w:val="left"/>
      <w:lvlText w:val="(%1)"/>
      <w:numFmt w:val="lowerRoman"/>
      <w:start w:val="3"/>
    </w:lvl>
  </w:abstractNum>
  <w:abstractNum w:abstractNumId="47">
    <w:nsid w:val="70C6A529"/>
    <w:multiLevelType w:val="hybridMultilevel"/>
    <w:lvl w:ilvl="0">
      <w:lvlJc w:val="left"/>
      <w:lvlText w:val="(%1)"/>
      <w:numFmt w:val="lowerLetter"/>
      <w:start w:val="12"/>
    </w:lvl>
  </w:abstractNum>
  <w:abstractNum w:abstractNumId="48">
    <w:nsid w:val="520EEDD1"/>
    <w:multiLevelType w:val="hybridMultilevel"/>
    <w:lvl w:ilvl="0">
      <w:lvlJc w:val="left"/>
      <w:lvlText w:val="%1."/>
      <w:numFmt w:val="decimal"/>
      <w:start w:val="13"/>
    </w:lvl>
  </w:abstractNum>
  <w:abstractNum w:abstractNumId="49">
    <w:nsid w:val="374A3FE6"/>
    <w:multiLevelType w:val="hybridMultilevel"/>
    <w:lvl w:ilvl="0">
      <w:lvlJc w:val="left"/>
      <w:lvlText w:val="%1."/>
      <w:numFmt w:val="decimal"/>
      <w:start w:val="14"/>
    </w:lvl>
    <w:lvl w:ilvl="1">
      <w:lvlJc w:val="left"/>
      <w:lvlText w:val="(%2)"/>
      <w:numFmt w:val="lowerLetter"/>
      <w:start w:val="1"/>
    </w:lvl>
  </w:abstractNum>
  <w:abstractNum w:abstractNumId="50">
    <w:nsid w:val="4F4EF005"/>
    <w:multiLevelType w:val="hybridMultilevel"/>
    <w:lvl w:ilvl="0">
      <w:lvlJc w:val="left"/>
      <w:lvlText w:val="%1"/>
      <w:numFmt w:val="lowerLetter"/>
      <w:start w:val="1"/>
    </w:lvl>
    <w:lvl w:ilvl="1">
      <w:lvlJc w:val="left"/>
      <w:lvlText w:val="(%2)"/>
      <w:numFmt w:val="lowerRoman"/>
      <w:start w:val="1"/>
    </w:lvl>
  </w:abstractNum>
  <w:abstractNum w:abstractNumId="51">
    <w:nsid w:val="23F9C13C"/>
    <w:multiLevelType w:val="hybridMultilevel"/>
    <w:lvl w:ilvl="0">
      <w:lvlJc w:val="left"/>
      <w:lvlText w:val="(%1)"/>
      <w:numFmt w:val="lowerLetter"/>
      <w:start w:val="2"/>
    </w:lvl>
    <w:lvl w:ilvl="1">
      <w:lvlJc w:val="left"/>
      <w:lvlText w:val="%2"/>
      <w:numFmt w:val="lowerRoman"/>
      <w:start w:val="1"/>
    </w:lvl>
  </w:abstractNum>
  <w:abstractNum w:abstractNumId="52">
    <w:nsid w:val="649BB77C"/>
    <w:multiLevelType w:val="hybridMultilevel"/>
    <w:lvl w:ilvl="0">
      <w:lvlJc w:val="left"/>
      <w:lvlText w:val="%1."/>
      <w:numFmt w:val="decimal"/>
      <w:start w:val="15"/>
    </w:lvl>
  </w:abstractNum>
  <w:abstractNum w:abstractNumId="53">
    <w:nsid w:val="275AC794"/>
    <w:multiLevelType w:val="hybridMultilevel"/>
    <w:lvl w:ilvl="0">
      <w:lvlJc w:val="left"/>
      <w:lvlText w:val="%1."/>
      <w:numFmt w:val="decimal"/>
      <w:start w:val="16"/>
    </w:lvl>
    <w:lvl w:ilvl="1">
      <w:lvlJc w:val="left"/>
      <w:lvlText w:val="(%2)"/>
      <w:numFmt w:val="lowerLetter"/>
      <w:start w:val="1"/>
    </w:lvl>
  </w:abstractNum>
  <w:abstractNum w:abstractNumId="54">
    <w:nsid w:val="39386575"/>
    <w:multiLevelType w:val="hybridMultilevel"/>
    <w:lvl w:ilvl="0">
      <w:lvlJc w:val="left"/>
      <w:lvlText w:val="%1"/>
      <w:numFmt w:val="decimal"/>
      <w:start w:val="1"/>
    </w:lvl>
    <w:lvl w:ilvl="1">
      <w:lvlJc w:val="left"/>
      <w:lvlText w:val="(%2)"/>
      <w:numFmt w:val="lowerLetter"/>
      <w:start w:val="3"/>
    </w:lvl>
  </w:abstractNum>
  <w:abstractNum w:abstractNumId="55">
    <w:nsid w:val="1CF10FD8"/>
    <w:multiLevelType w:val="hybridMultilevel"/>
    <w:lvl w:ilvl="0">
      <w:lvlJc w:val="left"/>
      <w:lvlText w:val="%1."/>
      <w:numFmt w:val="decimal"/>
      <w:start w:val="17"/>
    </w:lvl>
    <w:lvl w:ilvl="1">
      <w:lvlJc w:val="left"/>
      <w:lvlText w:val="(%2)"/>
      <w:numFmt w:val="lowerLetter"/>
      <w:start w:val="1"/>
    </w:lvl>
  </w:abstractNum>
  <w:abstractNum w:abstractNumId="56">
    <w:nsid w:val="180115BE"/>
    <w:multiLevelType w:val="hybridMultilevel"/>
    <w:lvl w:ilvl="0">
      <w:lvlJc w:val="left"/>
      <w:lvlText w:val="(%1)"/>
      <w:numFmt w:val="upperLetter"/>
      <w:start w:val="2"/>
    </w:lvl>
    <w:lvl w:ilvl="1">
      <w:lvlJc w:val="left"/>
      <w:lvlText w:val="(%2)"/>
      <w:numFmt w:val="lowerLetter"/>
      <w:start w:val="3"/>
    </w:lvl>
  </w:abstractNum>
  <w:abstractNum w:abstractNumId="57">
    <w:nsid w:val="235BA861"/>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2019-12-08T12:30:52Z</dcterms:created>
  <dcterms:modified xsi:type="dcterms:W3CDTF">2019-12-08T12:30:52Z</dcterms:modified>
</cp:coreProperties>
</file>