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BAGAI PAVAN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COO</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02/01/2021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9,984</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54,044</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02/01/2021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4,269</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76.68</w:t>
            </w:r>
            <w:r>
              <w:rPr>
                <w:rFonts w:ascii="Arial" w:cs="Arial" w:eastAsia="Arial" w:hAnsi="Arial"/>
                <w:sz w:val="22"/>
                <w:szCs w:val="22"/>
                <w:color w:val="008000"/>
                <w:vertAlign w:val="superscript"/>
              </w:rPr>
              <w:t>(2)</w:t>
            </w:r>
          </w:p>
        </w:tc>
        <w:tc>
          <w:tcPr>
            <w:tcW w:w="12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49,775</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22, 2018. Such shares of Common Stock were deemed earned on February 1, 2021 based on the Compensation Committee of the Board of Directors administering the award certifying the achievement of performance targets applicable to the PRSUs for the performance period ending on December 31, 2020.</w:t>
      </w:r>
    </w:p>
    <w:p>
      <w:pPr>
        <w:spacing w:after="0" w:line="8" w:lineRule="exact"/>
        <w:rPr>
          <w:rFonts w:ascii="Arial" w:cs="Arial" w:eastAsia="Arial" w:hAnsi="Arial"/>
          <w:sz w:val="12"/>
          <w:szCs w:val="12"/>
          <w:color w:val="008000"/>
        </w:rPr>
      </w:pPr>
    </w:p>
    <w:p>
      <w:pPr>
        <w:jc w:val="both"/>
        <w:ind w:left="40" w:right="24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29, 2021 in this case, is used for purposes of computing tax reporting and withholding.</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413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2021-02-03T16:26:43Z</dcterms:created>
  <dcterms:modified xsi:type="dcterms:W3CDTF">2021-02-03T16:26:43Z</dcterms:modified>
</cp:coreProperties>
</file>