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64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640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7"/>
            <w:vMerge w:val="restart"/>
          </w:tcPr>
          <w:p>
            <w:pPr>
              <w:jc w:val="center"/>
              <w:ind w:right="38"/>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1"/>
              <w:spacing w:after="0"/>
              <w:rPr>
                <w:sz w:val="20"/>
                <w:szCs w:val="20"/>
                <w:color w:val="auto"/>
              </w:rPr>
            </w:pPr>
            <w:r>
              <w:rPr>
                <w:rFonts w:ascii="Times New Roman" w:cs="Times New Roman" w:eastAsia="Times New Roman" w:hAnsi="Times New Roman"/>
                <w:sz w:val="17"/>
                <w:szCs w:val="17"/>
                <w:color w:val="0000FF"/>
              </w:rPr>
              <w:t>02/28/2025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33,525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1,002,455</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885,670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420,000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420,000</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665,925</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201,095</w:t>
            </w:r>
          </w:p>
        </w:tc>
        <w:tc>
          <w:tcPr>
            <w:tcW w:w="28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1"/>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33,525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02/28/2025</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33,525</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0000FF"/>
              </w:rPr>
              <w:t>100,575</w:t>
            </w: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28, 2024, the reporting person was granted 134,100 restricted stock units, vesting in four equal annual installments beginning on the first anniversary of the grant date. 25 percent of the restricted stock units became vested on February 28, 2025, an additional 25 percent of the restricted stock units will vest on February 28, 2026, an additional 25 percent of the restricted stock units will vest on February 28, 2027, and the remaining balance of 25 percent of the restricted stock units will vest on February 28,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03/04/2025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2025-03-04T16:54:29Z</dcterms:created>
  <dcterms:modified xsi:type="dcterms:W3CDTF">2025-03-04T16:54:29Z</dcterms:modified>
</cp:coreProperties>
</file>