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0000FF"/>
              </w:rPr>
              <w:t>01/30/2017</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rPr>
                <w:sz w:val="20"/>
                <w:szCs w:val="20"/>
                <w:color w:val="auto"/>
              </w:rPr>
            </w:pPr>
            <w:r>
              <w:rPr>
                <w:rFonts w:ascii="Arial" w:cs="Arial" w:eastAsia="Arial" w:hAnsi="Arial"/>
                <w:sz w:val="18"/>
                <w:szCs w:val="18"/>
                <w:color w:val="0000FF"/>
              </w:rPr>
              <w:t>10,524</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14,494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01/30/2017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4,433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46.45</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10,061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13, 2014 and voluntarily reported in a Form 4 filed on February 18, 2014.</w:t>
      </w:r>
    </w:p>
    <w:p>
      <w:pPr>
        <w:spacing w:after="0" w:line="30" w:lineRule="exact"/>
        <w:rPr>
          <w:rFonts w:ascii="Arial" w:cs="Arial" w:eastAsia="Arial" w:hAnsi="Arial"/>
          <w:sz w:val="14"/>
          <w:szCs w:val="14"/>
          <w:color w:val="008000"/>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reported in this report were deemed earned on January 30, 2017 based on the Compensation Committee of the Board of Directors administering the award certifying the achievement of performance targets applicable to the PRSUs for the performance period ending on December 31, 2016. Pursuant to the agreement governing the grant of the PRSUs and pursuant to the Company's 2006 Omnibus Award Plan, pursuant to which such PRSUs were granted, the closing price of the Common Stock on the Nasdaq Global Select Market on the preceding day, January 27, 2017 in this case, is used for purposes of computing tax reporting and withholding..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2019-12-04T01:06:55Z</dcterms:created>
  <dcterms:modified xsi:type="dcterms:W3CDTF">2019-12-04T01:06:55Z</dcterms:modified>
</cp:coreProperties>
</file>