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3480" w:right="2020" w:hanging="3472"/>
        <w:spacing w:after="0" w:line="434"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2007</w:t>
      </w:r>
    </w:p>
    <w:p>
      <w:pPr>
        <w:jc w:val="center"/>
        <w:ind w:right="-1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2960" w:right="2020" w:hanging="2952"/>
        <w:spacing w:after="0" w:line="497" w:lineRule="auto"/>
        <w:tabs>
          <w:tab w:leader="none" w:pos="45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 TO ____________</w:t>
      </w:r>
    </w:p>
    <w:p>
      <w:pPr>
        <w:ind w:left="414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0"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7080" w:type="dxa"/>
            <w:vAlign w:val="bottom"/>
          </w:tcPr>
          <w:p>
            <w:pPr>
              <w:jc w:val="center"/>
              <w:ind w:right="3363"/>
              <w:spacing w:after="0"/>
              <w:rPr>
                <w:sz w:val="20"/>
                <w:szCs w:val="20"/>
                <w:color w:val="auto"/>
              </w:rPr>
            </w:pPr>
            <w:r>
              <w:rPr>
                <w:rFonts w:ascii="Arial" w:cs="Arial" w:eastAsia="Arial" w:hAnsi="Arial"/>
                <w:sz w:val="18"/>
                <w:szCs w:val="18"/>
                <w:b w:val="1"/>
                <w:bCs w:val="1"/>
                <w:color w:val="auto"/>
                <w:w w:val="96"/>
              </w:rPr>
              <w:t>DELAWARE</w:t>
            </w:r>
          </w:p>
        </w:tc>
        <w:tc>
          <w:tcPr>
            <w:tcW w:w="1120" w:type="dxa"/>
            <w:vAlign w:val="bottom"/>
          </w:tcPr>
          <w:p>
            <w:pPr>
              <w:jc w:val="right"/>
              <w:ind w:right="64"/>
              <w:spacing w:after="0"/>
              <w:rPr>
                <w:sz w:val="20"/>
                <w:szCs w:val="20"/>
                <w:color w:val="auto"/>
              </w:rPr>
            </w:pPr>
            <w:r>
              <w:rPr>
                <w:rFonts w:ascii="Arial" w:cs="Arial" w:eastAsia="Arial" w:hAnsi="Arial"/>
                <w:sz w:val="18"/>
                <w:szCs w:val="18"/>
                <w:b w:val="1"/>
                <w:bCs w:val="1"/>
                <w:color w:val="auto"/>
                <w:w w:val="99"/>
              </w:rPr>
              <w:t>82-0572194</w:t>
            </w:r>
          </w:p>
        </w:tc>
      </w:tr>
      <w:tr>
        <w:trPr>
          <w:trHeight w:val="149"/>
        </w:trPr>
        <w:tc>
          <w:tcPr>
            <w:tcW w:w="7080" w:type="dxa"/>
            <w:vAlign w:val="bottom"/>
          </w:tcPr>
          <w:p>
            <w:pPr>
              <w:jc w:val="center"/>
              <w:ind w:right="336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080" w:type="dxa"/>
            <w:vAlign w:val="bottom"/>
          </w:tcPr>
          <w:p>
            <w:pPr>
              <w:jc w:val="center"/>
              <w:ind w:right="3363"/>
              <w:spacing w:after="0"/>
              <w:rPr>
                <w:sz w:val="20"/>
                <w:szCs w:val="20"/>
                <w:color w:val="auto"/>
              </w:rPr>
            </w:pPr>
            <w:r>
              <w:rPr>
                <w:rFonts w:ascii="Arial" w:cs="Arial" w:eastAsia="Arial" w:hAnsi="Arial"/>
                <w:sz w:val="14"/>
                <w:szCs w:val="14"/>
                <w:b w:val="1"/>
                <w:bCs w:val="1"/>
                <w:color w:val="auto"/>
                <w:w w:val="88"/>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No. )</w:t>
            </w:r>
          </w:p>
        </w:tc>
      </w:tr>
      <w:tr>
        <w:trPr>
          <w:trHeight w:val="406"/>
        </w:trPr>
        <w:tc>
          <w:tcPr>
            <w:tcW w:w="7080" w:type="dxa"/>
            <w:vAlign w:val="bottom"/>
          </w:tcPr>
          <w:p>
            <w:pPr>
              <w:jc w:val="center"/>
              <w:ind w:right="3343"/>
              <w:spacing w:after="0"/>
              <w:rPr>
                <w:sz w:val="20"/>
                <w:szCs w:val="20"/>
                <w:color w:val="auto"/>
              </w:rPr>
            </w:pPr>
            <w:r>
              <w:rPr>
                <w:rFonts w:ascii="Arial" w:cs="Arial" w:eastAsia="Arial" w:hAnsi="Arial"/>
                <w:sz w:val="18"/>
                <w:szCs w:val="18"/>
                <w:b w:val="1"/>
                <w:bCs w:val="1"/>
                <w:color w:val="auto"/>
                <w:w w:val="96"/>
              </w:rPr>
              <w:t>350 PARK AVENUE NEW YORK, NEW YORK</w:t>
            </w:r>
          </w:p>
        </w:tc>
        <w:tc>
          <w:tcPr>
            <w:tcW w:w="1120" w:type="dxa"/>
            <w:vAlign w:val="bottom"/>
          </w:tcPr>
          <w:p>
            <w:pPr>
              <w:jc w:val="right"/>
              <w:ind w:right="264"/>
              <w:spacing w:after="0"/>
              <w:rPr>
                <w:sz w:val="20"/>
                <w:szCs w:val="20"/>
                <w:color w:val="auto"/>
              </w:rPr>
            </w:pPr>
            <w:r>
              <w:rPr>
                <w:rFonts w:ascii="Arial" w:cs="Arial" w:eastAsia="Arial" w:hAnsi="Arial"/>
                <w:sz w:val="18"/>
                <w:szCs w:val="18"/>
                <w:b w:val="1"/>
                <w:bCs w:val="1"/>
                <w:color w:val="auto"/>
              </w:rPr>
              <w:t>10022</w:t>
            </w:r>
          </w:p>
        </w:tc>
      </w:tr>
      <w:tr>
        <w:trPr>
          <w:trHeight w:val="174"/>
        </w:trPr>
        <w:tc>
          <w:tcPr>
            <w:tcW w:w="7080" w:type="dxa"/>
            <w:vAlign w:val="bottom"/>
          </w:tcPr>
          <w:p>
            <w:pPr>
              <w:jc w:val="center"/>
              <w:ind w:right="336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7080" w:type="dxa"/>
            <w:vAlign w:val="bottom"/>
          </w:tcPr>
          <w:p>
            <w:pPr>
              <w:jc w:val="center"/>
              <w:ind w:left="2183"/>
              <w:spacing w:after="0"/>
              <w:rPr>
                <w:sz w:val="20"/>
                <w:szCs w:val="20"/>
                <w:color w:val="auto"/>
              </w:rPr>
            </w:pPr>
            <w:r>
              <w:rPr>
                <w:rFonts w:ascii="Arial" w:cs="Arial" w:eastAsia="Arial" w:hAnsi="Arial"/>
                <w:sz w:val="18"/>
                <w:szCs w:val="18"/>
                <w:b w:val="1"/>
                <w:bCs w:val="1"/>
                <w:color w:val="auto"/>
                <w:w w:val="89"/>
              </w:rPr>
              <w:t>(212) 277-7100</w:t>
            </w:r>
          </w:p>
        </w:tc>
        <w:tc>
          <w:tcPr>
            <w:tcW w:w="1120" w:type="dxa"/>
            <w:vAlign w:val="bottom"/>
          </w:tcPr>
          <w:p>
            <w:pPr>
              <w:spacing w:after="0"/>
              <w:rPr>
                <w:sz w:val="24"/>
                <w:szCs w:val="24"/>
                <w:color w:val="auto"/>
              </w:rPr>
            </w:pPr>
          </w:p>
        </w:tc>
      </w:tr>
      <w:tr>
        <w:trPr>
          <w:trHeight w:val="174"/>
        </w:trPr>
        <w:tc>
          <w:tcPr>
            <w:tcW w:w="7080" w:type="dxa"/>
            <w:vAlign w:val="bottom"/>
          </w:tcPr>
          <w:p>
            <w:pPr>
              <w:jc w:val="center"/>
              <w:ind w:left="218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352"/>
        </w:trPr>
        <w:tc>
          <w:tcPr>
            <w:tcW w:w="7080" w:type="dxa"/>
            <w:vAlign w:val="bottom"/>
          </w:tcPr>
          <w:p>
            <w:pPr>
              <w:jc w:val="center"/>
              <w:ind w:left="2203"/>
              <w:spacing w:after="0"/>
              <w:rPr>
                <w:sz w:val="20"/>
                <w:szCs w:val="20"/>
                <w:color w:val="auto"/>
              </w:rPr>
            </w:pPr>
            <w:r>
              <w:rPr>
                <w:rFonts w:ascii="Arial" w:cs="Arial" w:eastAsia="Arial" w:hAnsi="Arial"/>
                <w:sz w:val="18"/>
                <w:szCs w:val="18"/>
                <w:b w:val="1"/>
                <w:bCs w:val="1"/>
                <w:color w:val="auto"/>
                <w:w w:val="98"/>
              </w:rPr>
              <w:t>NOT APPLICABLE</w:t>
            </w:r>
          </w:p>
        </w:tc>
        <w:tc>
          <w:tcPr>
            <w:tcW w:w="1120" w:type="dxa"/>
            <w:vAlign w:val="bottom"/>
          </w:tcPr>
          <w:p>
            <w:pPr>
              <w:spacing w:after="0"/>
              <w:rPr>
                <w:sz w:val="24"/>
                <w:szCs w:val="24"/>
                <w:color w:val="auto"/>
              </w:rPr>
            </w:pPr>
          </w:p>
        </w:tc>
      </w:tr>
      <w:tr>
        <w:trPr>
          <w:trHeight w:val="174"/>
        </w:trPr>
        <w:tc>
          <w:tcPr>
            <w:tcW w:w="7080" w:type="dxa"/>
            <w:vAlign w:val="bottom"/>
          </w:tcPr>
          <w:p>
            <w:pPr>
              <w:jc w:val="center"/>
              <w:ind w:left="218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9"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00"/>
          </w:cols>
          <w:pgMar w:left="240" w:top="230" w:right="259" w:bottom="1440" w:gutter="0" w:footer="0" w:header="0"/>
        </w:sectPr>
      </w:pPr>
    </w:p>
    <w:p>
      <w:pPr>
        <w:spacing w:after="0" w:line="132"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440" w:space="80"/>
            <w:col w:w="160" w:space="340"/>
            <w:col w:w="1220" w:space="80"/>
            <w:col w:w="160" w:space="360"/>
            <w:col w:w="1580" w:space="80"/>
            <w:col w:w="2900"/>
          </w:cols>
          <w:pgMar w:left="240" w:top="230" w:right="25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220"/>
            <w:col w:w="240" w:space="140"/>
            <w:col w:w="160" w:space="220"/>
            <w:col w:w="220" w:space="120"/>
            <w:col w:w="1640"/>
          </w:cols>
          <w:pgMar w:left="240" w:top="230" w:right="259" w:bottom="1440" w:gutter="0" w:footer="0" w:header="0"/>
          <w:type w:val="continuous"/>
        </w:sectPr>
      </w:pPr>
    </w:p>
    <w:p>
      <w:pPr>
        <w:ind w:firstLine="456"/>
        <w:spacing w:after="0" w:line="332"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April 30, 2007, there were 28,460,500 shares of the registrant’s common stock outstanding (excluding 149,138 shares held in treasury),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p>
      <w:pPr>
        <w:ind w:left="11040"/>
        <w:spacing w:after="0"/>
        <w:rPr>
          <w:sz w:val="20"/>
          <w:szCs w:val="20"/>
          <w:color w:val="auto"/>
        </w:rPr>
      </w:pPr>
      <w:r>
        <w:rPr>
          <w:rFonts w:ascii="Arial" w:cs="Arial" w:eastAsia="Arial" w:hAnsi="Arial"/>
          <w:sz w:val="12"/>
          <w:szCs w:val="12"/>
          <w:b w:val="1"/>
          <w:bCs w:val="1"/>
          <w:u w:val="single" w:color="auto"/>
          <w:color w:val="auto"/>
        </w:rPr>
        <w:t>PAGE</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PART I.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105"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7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March 31, 2007 and December 31, 2006</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 (Unaudited) for the Three Months Ended March 31, 2007 and 2006</w:t>
              </w:r>
            </w:hyperlink>
          </w:p>
        </w:tc>
        <w:tc>
          <w:tcPr>
            <w:tcW w:w="1500" w:type="dxa"/>
            <w:vAlign w:val="bottom"/>
            <w:gridSpan w:val="2"/>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Cash Flows (Unaudited) for the Three Months Ended March 31, 2007 and 2006</w:t>
              </w:r>
            </w:hyperlink>
          </w:p>
        </w:tc>
        <w:tc>
          <w:tcPr>
            <w:tcW w:w="1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92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tcPr>
          <w:p>
            <w:pPr>
              <w:spacing w:after="0"/>
              <w:rPr>
                <w:sz w:val="24"/>
                <w:szCs w:val="24"/>
                <w:color w:val="auto"/>
              </w:rPr>
            </w:pPr>
          </w:p>
        </w:tc>
        <w:tc>
          <w:tcPr>
            <w:tcW w:w="2920" w:type="dxa"/>
            <w:vAlign w:val="bottom"/>
            <w:gridSpan w:val="4"/>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7480" w:type="dxa"/>
            <w:vAlign w:val="bottom"/>
            <w:gridSpan w:val="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3"/>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1400" w:type="dxa"/>
            <w:vAlign w:val="bottom"/>
          </w:tcPr>
          <w:p>
            <w:pPr>
              <w:spacing w:after="0"/>
              <w:rPr>
                <w:sz w:val="24"/>
                <w:szCs w:val="24"/>
                <w:color w:val="auto"/>
              </w:rPr>
            </w:pPr>
          </w:p>
        </w:tc>
      </w:tr>
      <w:tr>
        <w:trPr>
          <w:trHeight w:val="286"/>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92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7920" w:type="dxa"/>
            <w:vAlign w:val="bottom"/>
            <w:gridSpan w:val="10"/>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92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4980" w:type="dxa"/>
            <w:vAlign w:val="bottom"/>
            <w:gridSpan w:val="6"/>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36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Submission of Matters to a Vote of Security Holders</w:t>
              </w:r>
            </w:hyperlink>
          </w:p>
        </w:tc>
        <w:tc>
          <w:tcPr>
            <w:tcW w:w="5540" w:type="dxa"/>
            <w:vAlign w:val="bottom"/>
            <w:gridSpan w:val="7"/>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92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7940" w:type="dxa"/>
            <w:vAlign w:val="bottom"/>
            <w:gridSpan w:val="11"/>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0" w:type="dxa"/>
            <w:vAlign w:val="bottom"/>
          </w:tcPr>
          <w:p>
            <w:pPr>
              <w:jc w:val="center"/>
              <w:ind w:left="1652"/>
              <w:spacing w:after="0"/>
              <w:rPr>
                <w:sz w:val="20"/>
                <w:szCs w:val="20"/>
                <w:color w:val="auto"/>
              </w:rPr>
            </w:pPr>
            <w:r>
              <w:rPr>
                <w:rFonts w:ascii="Arial" w:cs="Arial" w:eastAsia="Arial" w:hAnsi="Arial"/>
                <w:sz w:val="18"/>
                <w:szCs w:val="18"/>
                <w:b w:val="1"/>
                <w:bCs w:val="1"/>
                <w:color w:val="auto"/>
                <w:w w:val="99"/>
              </w:rPr>
              <w:t>PART I. FINANCIAL INFORMATION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0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0" w:type="dxa"/>
            <w:vAlign w:val="bottom"/>
          </w:tcPr>
          <w:p>
            <w:pPr>
              <w:jc w:val="center"/>
              <w:ind w:left="1652"/>
              <w:spacing w:after="0"/>
              <w:rPr>
                <w:sz w:val="20"/>
                <w:szCs w:val="20"/>
                <w:color w:val="auto"/>
              </w:rPr>
            </w:pPr>
            <w:r>
              <w:rPr>
                <w:rFonts w:ascii="Arial" w:cs="Arial" w:eastAsia="Arial" w:hAnsi="Arial"/>
                <w:sz w:val="18"/>
                <w:szCs w:val="18"/>
                <w:b w:val="1"/>
                <w:bCs w:val="1"/>
                <w:color w:val="auto"/>
                <w:w w:val="99"/>
              </w:rPr>
              <w:t>EXLSERVICE HOLDINGS, INC.</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0" w:type="dxa"/>
            <w:vAlign w:val="bottom"/>
          </w:tcPr>
          <w:p>
            <w:pPr>
              <w:jc w:val="center"/>
              <w:ind w:left="1672"/>
              <w:spacing w:after="0"/>
              <w:rPr>
                <w:sz w:val="20"/>
                <w:szCs w:val="20"/>
                <w:color w:val="auto"/>
              </w:rPr>
            </w:pPr>
            <w:r>
              <w:rPr>
                <w:rFonts w:ascii="Arial" w:cs="Arial" w:eastAsia="Arial" w:hAnsi="Arial"/>
                <w:sz w:val="18"/>
                <w:szCs w:val="18"/>
                <w:b w:val="1"/>
                <w:bCs w:val="1"/>
                <w:color w:val="auto"/>
                <w:w w:val="96"/>
              </w:rPr>
              <w:t>CONSOLIDATED BALANCE SHEETS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March 31, 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73,927,180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Accounts receivable, net of allowance for doubtful accounts of $22,539 at March 31, 2007 and $100,828 at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December 31, 2006</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34,995,770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312,342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receivables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1,578,124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3,479,167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2,236,267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117,778,324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122,720,533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23,429,313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 of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Goodwill</w:t>
            </w:r>
          </w:p>
        </w:tc>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16,585,487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 assets</w:t>
            </w:r>
          </w:p>
        </w:tc>
        <w:tc>
          <w:tcPr>
            <w:tcW w:w="7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7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166,268,589</w:t>
            </w: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5,864,736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5,752,992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7,955,351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25,019,559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37,698,915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25,699,071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38,412,481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$0.001 par value; 100,000,000 shares authorized, 28,609,638 shares issued and outstanding as at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640"/>
              <w:spacing w:after="0"/>
              <w:rPr>
                <w:sz w:val="20"/>
                <w:szCs w:val="20"/>
                <w:color w:val="auto"/>
              </w:rPr>
            </w:pPr>
            <w:r>
              <w:rPr>
                <w:rFonts w:ascii="Arial" w:cs="Arial" w:eastAsia="Arial" w:hAnsi="Arial"/>
                <w:sz w:val="18"/>
                <w:szCs w:val="18"/>
                <w:color w:val="auto"/>
              </w:rPr>
              <w:t>March 31, 2007 and 28,262,289 shares issued and outstanding as at December 31, 2006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104,772,151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34,073,273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140,605,034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149,138 shares as at March 31, 2007 and December 31, 2006, held in treasury, at cost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140,569,518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166,268,589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39,504,001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21,457,814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Revenues (from related party)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39,854,448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21,557,984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24,481,968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13,945,943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15,372,480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7,612,041</w:t>
            </w:r>
          </w:p>
        </w:tc>
        <w:tc>
          <w:tcPr>
            <w:tcW w:w="60" w:type="dxa"/>
            <w:vAlign w:val="bottom"/>
            <w:shd w:val="clear" w:color="auto" w:fill="CCEEFF"/>
          </w:tcPr>
          <w:p>
            <w:pPr>
              <w:spacing w:after="0"/>
              <w:rPr>
                <w:sz w:val="18"/>
                <w:szCs w:val="18"/>
                <w:color w:val="auto"/>
              </w:rPr>
            </w:pPr>
          </w:p>
        </w:tc>
      </w:tr>
      <w:tr>
        <w:trPr>
          <w:trHeight w:val="222"/>
        </w:trPr>
        <w:tc>
          <w:tcPr>
            <w:tcW w:w="92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6,035,547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3,675,030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1,963,530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762,191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2,440,902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1,764,731</w:t>
            </w:r>
          </w:p>
        </w:tc>
        <w:tc>
          <w:tcPr>
            <w:tcW w:w="60" w:type="dxa"/>
            <w:vAlign w:val="bottom"/>
            <w:shd w:val="clear" w:color="auto" w:fill="CCEEFF"/>
          </w:tcPr>
          <w:p>
            <w:pPr>
              <w:spacing w:after="0"/>
              <w:rPr>
                <w:sz w:val="18"/>
                <w:szCs w:val="18"/>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10,439,979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6,201,952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4,932,501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1,410,089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1,007,802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(102,019)</w:t>
            </w:r>
          </w:p>
        </w:tc>
      </w:tr>
      <w:tr>
        <w:trPr>
          <w:trHeight w:val="221"/>
        </w:trPr>
        <w:tc>
          <w:tcPr>
            <w:tcW w:w="92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6,492,889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1,946,514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1,084,263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(166,768)</w:t>
            </w:r>
          </w:p>
        </w:tc>
      </w:tr>
      <w:tr>
        <w:trPr>
          <w:trHeight w:val="221"/>
        </w:trPr>
        <w:tc>
          <w:tcPr>
            <w:tcW w:w="92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5,408,626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2,113,282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(168,728)</w:t>
            </w:r>
          </w:p>
        </w:tc>
      </w:tr>
      <w:tr>
        <w:trPr>
          <w:trHeight w:val="222"/>
        </w:trPr>
        <w:tc>
          <w:tcPr>
            <w:tcW w:w="9280" w:type="dxa"/>
            <w:vAlign w:val="bottom"/>
            <w:gridSpan w:val="3"/>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5,408,626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1,944,554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28,141,321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21,211,012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29,084,264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21,683,116</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right="100" w:hanging="452"/>
        <w:spacing w:after="0" w:line="26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weighted average number of shares and earnings per share data for three months ended March 31, 2006 has been adjusted to reflect the stock split and conversion effected by the Company in connection with its October 2006 initial public offering.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5,408,626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2,113,282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2,440,902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1,764,731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on senior long term debt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 employee stock options</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116,252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 (unrealized)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(587,060)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(8,328,839)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(2,647,802)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(3,759,990)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(508,203)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(3,901,928)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for) operating activities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(8,314,796)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(3,039,802)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(1,630,647)</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(3,039,802)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(1,630,647)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(119,767)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Net cash provided by/(used for) financing activities</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(80,539)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(11,438,923)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(1,174,446)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85,366,103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73,927,180</w:t>
            </w: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23,066,186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12,440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2,486,756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Fair value of the shares issued for non cash consideration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5,449,042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8280" w:firstLine="8"/>
        <w:spacing w:after="0" w:line="369"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45"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 Service.com, Inc. (“Exl Inc.”), ExlService.com (India) Private Limited (“Exl India”), Noida Customer Operations Private Limited (“NCOP”), Exl Support Services Pvt. Ltd. (“ESSPL”), ExlService (U.K.) Limited (“Exl UK”) and Inductis Inc. and its wholly owned subsidiaries (“Inductis”) (collectively, the “Company”) is a recognized provider of offshore solutions, including business process outsourcing (“BPO”), research and analytics, and advisory services. The Company’s clients are located principally in the United States and the United Kingdom.</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completed its October 2006 initial public offering and the common stock of the Company is listed on the Nasdaq Global Select Market under the symbol “EXLS.”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unaudited interim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audited consolidated financial statements of ExlService Holdings for the year ended December 31, 2006 and Management’s Discussion and Analysis of Financial Condition and Results of Operations included in the Company’s 2006 Form 10-K.</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consolidated balance sheet at December 31, 2006 was derived from the audited consolidated balance sheet of ExlService Holdings included in the Company’s 2006 Form 10-K.</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weighted average number of shares and earnings per share data for three months ended March 31, 2006 has been adjusted to reflect the stock split and conversion effected by the Company in connection with its October 2006 initial public offering.</w:t>
      </w:r>
    </w:p>
    <w:p>
      <w:pPr>
        <w:spacing w:after="0" w:line="207" w:lineRule="exact"/>
        <w:rPr>
          <w:sz w:val="20"/>
          <w:szCs w:val="20"/>
          <w:color w:val="auto"/>
        </w:rPr>
      </w:pPr>
    </w:p>
    <w:p>
      <w:pPr>
        <w:ind w:right="7920" w:firstLine="8"/>
        <w:spacing w:after="0" w:line="347"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significant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depreciation and amortization periods, and recoverability of long-term assets including goodwill and intangibles.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9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average exchange rates prevailing during the period. Resulting translation adjustments are included in accumulated other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and money market accounts to reduce our exposure to market risk with regard to these funds.</w:t>
      </w:r>
    </w:p>
    <w:p>
      <w:pPr>
        <w:sectPr>
          <w:pgSz w:w="11900" w:h="16838" w:orient="portrait"/>
          <w:cols w:equalWidth="0" w:num="1">
            <w:col w:w="11400"/>
          </w:cols>
          <w:pgMar w:left="240" w:top="459" w:right="259" w:bottom="990"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99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 for doubtful accounts are established through the evaluation of accounts receivables agings and prior collection experience to estimate the ultimate collectability of these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Revenues from BPO services include revenue from a range of services, including insurance services, banking and financial services, finance and accounting services and collection services. Revenues from advisory services include revenues from various services such as Sarbanes-Oxley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11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time-and-material, cost-plus and unit-priced arrangements. The Company recognizes revenue from the last billing date to the balance sheet date as unbilled revenues and recognizes billings in excess of revenues earned or advances received from clients as deferred revenue.</w:t>
      </w:r>
    </w:p>
    <w:p>
      <w:pPr>
        <w:spacing w:after="0" w:line="9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accordance with 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the Company has accounted for reimbursements received for out-of-pocket expenses incurred as revenues in the consolidated statements of income. The Company typically incurs telecommunication and travel-related costs that are billed to and reimbursed by clients.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1,815,951</w:t>
            </w:r>
          </w:p>
        </w:tc>
      </w:tr>
      <w:tr>
        <w:trPr>
          <w:trHeight w:val="222"/>
        </w:trPr>
        <w:tc>
          <w:tcPr>
            <w:tcW w:w="4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Three Months Ended March 31, 2006</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1,034,215</w:t>
            </w:r>
          </w:p>
        </w:tc>
      </w:tr>
    </w:tbl>
    <w:p>
      <w:pPr>
        <w:spacing w:after="0" w:line="14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During the three months ended March 31, 2007, two customers accounted for 28% and 24%, respectively, of the Company’s total revenues. During the three months ended March 31, 2006, two customers accounted for 46% and 10% respectively, of the Company’s total revenues.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March 31, 2007, two customers accounted for 32% and 24% respectively, of the Company’s total accounts receivable. As of December 31, 2006, three customers accounted for 25%, 21% and 12% respectively, of the Company’s total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ectPr>
          <w:pgSz w:w="11900" w:h="16838" w:orient="portrait"/>
          <w:cols w:equalWidth="0" w:num="1">
            <w:col w:w="11340"/>
          </w:cols>
          <w:pgMar w:left="240" w:top="459" w:right="319" w:bottom="1440" w:gutter="0" w:footer="0" w:header="0"/>
        </w:sectPr>
      </w:pPr>
    </w:p>
    <w:bookmarkStart w:id="7" w:name="page8"/>
    <w:bookmarkEnd w:id="7"/>
    <w:p>
      <w:pPr>
        <w:ind w:right="60" w:firstLine="456"/>
        <w:spacing w:after="0" w:line="290"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the results of its first step impairment tests performed on October 1, 2006,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we record an impairment loss in the future, such amount will not be deductible for tax purposes. As of March 31, 2007, our goodwill balance was $16,585,487. The goodwill balance at March 31, 2007 has changed from the balance at December 31, 2006 due to purchase price adjustments recorded during the quarter ended March 31, 2007.</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Trademarks</w:t>
            </w:r>
          </w:p>
        </w:tc>
        <w:tc>
          <w:tcPr>
            <w:tcW w:w="630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363"/>
        </w:trPr>
        <w:tc>
          <w:tcPr>
            <w:tcW w:w="3280" w:type="dxa"/>
            <w:vAlign w:val="bottom"/>
          </w:tcPr>
          <w:p>
            <w:pPr>
              <w:spacing w:after="0"/>
              <w:rPr>
                <w:sz w:val="24"/>
                <w:szCs w:val="24"/>
                <w:color w:val="auto"/>
              </w:rPr>
            </w:pPr>
          </w:p>
        </w:tc>
        <w:tc>
          <w:tcPr>
            <w:tcW w:w="6300" w:type="dxa"/>
            <w:vAlign w:val="bottom"/>
          </w:tcPr>
          <w:p>
            <w:pPr>
              <w:jc w:val="right"/>
              <w:ind w:right="465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is generally organized around its BPO, advisory, and research and analytics service lines. The chief operating decision maker generally reviews financial information at the consolidated statements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Revenues and cost of revenues for the three months ended March 31, 2007 and 2006 for BPO, advisory and research and analytics services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88"/>
              </w:rPr>
              <w:t>Three months ended March 31, 2007</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7"/>
              </w:rPr>
              <w:t>Three months ended March 31, 2006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Research</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Research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BPO</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BPO</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$32,515,269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$2,762,531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$4,226,201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39,504,001</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$ 19,624,875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$ 1,342,024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$ 490,915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21,457,814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195,030</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32,710,299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2,898,633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4,245,516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39,854,448</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19,624,875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1,442,194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490,915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21,557,984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revenue (exclusive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18,843,248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1,962,049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3,676,671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24,481,968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12,614,024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1,085,321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246,598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13,945,943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13,867,051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15,372,480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7,010,851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356,873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244,317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7,612,041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7,999,077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4,437,221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2,440,902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1,764,731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Foreign exchange gain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1,007,802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(17,521)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1,084,263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(166,768)</w:t>
            </w:r>
          </w:p>
        </w:tc>
        <w:tc>
          <w:tcPr>
            <w:tcW w:w="0" w:type="dxa"/>
            <w:vAlign w:val="bottom"/>
          </w:tcPr>
          <w:p>
            <w:pPr>
              <w:spacing w:after="0"/>
              <w:rPr>
                <w:sz w:val="1"/>
                <w:szCs w:val="1"/>
                <w:color w:val="auto"/>
              </w:rPr>
            </w:pPr>
          </w:p>
        </w:tc>
      </w:tr>
      <w:tr>
        <w:trPr>
          <w:trHeight w:val="221"/>
        </w:trPr>
        <w:tc>
          <w:tcPr>
            <w:tcW w:w="3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5,408,626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2,113,282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(168,728)</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5,408,626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1,944,554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January 1, 2006, the Company adopted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No. 123(R)”)</w:t>
      </w:r>
      <w:r>
        <w:rPr>
          <w:rFonts w:ascii="Arial" w:cs="Arial" w:eastAsia="Arial" w:hAnsi="Arial"/>
          <w:sz w:val="16"/>
          <w:szCs w:val="16"/>
          <w:i w:val="1"/>
          <w:iCs w:val="1"/>
          <w:color w:val="auto"/>
        </w:rPr>
        <w:t>,</w:t>
      </w:r>
      <w:r>
        <w:rPr>
          <w:rFonts w:ascii="Arial" w:cs="Arial" w:eastAsia="Arial" w:hAnsi="Arial"/>
          <w:sz w:val="16"/>
          <w:szCs w:val="16"/>
          <w:color w:val="auto"/>
        </w:rPr>
        <w:t xml:space="preserve"> which is a revision of Statement of Financial Accounting Standards No. 123, “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 (FAS 123). FAS 123(R) supersedes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Under the fair value recognition provisions of this statement, stock-based compensation cost is measured at the grant date based on the fair value of the award and is recognized as expense on a straight-line basis over the requisite service period, which is the vesting period. The Company adopted the provisions of FAS No. 123(R) using the modified prospective transition method, which requires that the estimated fair value of share based awards granted under stock incentive plans is recognized as compensation expense for all share based payments (i) granted after the effective date of adoption and (ii) granted prior to the effective date of adoption and that remain unvested on the date of adoption. See note 13 for a detailed discussion of our stock based compensation and our adoption of FAS No. 123(R).</w:t>
      </w:r>
    </w:p>
    <w:p>
      <w:pPr>
        <w:sectPr>
          <w:pgSz w:w="11900" w:h="16838" w:orient="portrait"/>
          <w:cols w:equalWidth="0" w:num="1">
            <w:col w:w="11420"/>
          </w:cols>
          <w:pgMar w:left="240" w:top="45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Basic earnings per share is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stock options issued and outstanding at the reporting date. Stock options that are anti-dilutive are excluded from the computation of weighted average shares outstanding. For the three months ended March 31, 2007 and 2006, the weighted average number of shares used in calculating diluted earnings per share includes stock options for 942,943 and 472,104 shares (after giving effect to the stock split and conversion that occurred in connection with our initial public offering), respectively. The calculation of earnings per share for the three months ended March 31, 2007 and 2006 excludes stock options for 140,000 shares and 572,500 shares (after giving effect to the stock split and conversion that occurred in connection with our initial public offering) respectively, because the exercise price of such stock options is more than the average price of stock and hence to include them in the calculation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(“SFAS No. 130”),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(“SFAS No. 133”) Changes in the fair values of contracts that are deemed effective are recorded as a component of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until the settlement of that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and time deposits. By their nature, all such financial instruments involve risks including the credit risks of non-performance by counter parties. Pursuant to our investment policy, our surplus funds are kept as cash or cash equivalents and are invested in highly-rated commercial paper and money market accounts to reduce our exposure to market risk with regard to these funds. Trade accounts receivables are incurred pursuant to the contractual terms with customers. See “Revenue Recognition” elsewhere in this footnote.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policies with counter parties that are highly rated financial institutions. The Company’s primary exchange rate exposure is with the Great Britain pound sterling (GBP), United States dollars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income.</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$40,700,000 and GBP 23,250,000 as at March 31, 2007 and totaling $33,000,000 and GBP 21,700,000 as at December 31, 2006.</w:t>
      </w:r>
    </w:p>
    <w:p>
      <w:pPr>
        <w:spacing w:after="0" w:line="132"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the three months ended March 31, 2007 and 2006, net gains from ineffective cash flow hedges included in the consolidated statements of income totaled $70,668 and $185,989, respectively. Such gain is included in foreign exchange gain in the consolidated statements of income. For hedge relationships discontinued because the forecasted transaction is not expected to occur by the end of the originally specified period, any related derivative amounts recorded in equity are reclassified to earnings. No significant amounts of gains or losses were reclassified from Other Comprehensive Income into earnings as a result of forecasted transactions that failed to occur for three month periods ended March 31, 2007 and March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$1,749,891 of net derivative gains included in Other Comprehensive Income will be reclassified into earnings within the next 12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2007, the maximum outstanding term of derivative instruments that hedge forecasted transactions was 21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(“FIN 48”), “Accounting for Uncertainty in Income Taxes – An Interpretation of FASB Statement No. 109”.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FIN 48 contains a two-step approach to recognizing and measuring uncertain tax positions accounted for in accordance with SFAS No. 109. The first step is to evaluate the tax position for recognition by determining if the weight of available evidence indicated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implementation of FIN 48 did not have any impact on the Company’s consolidated financial statements.</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All federal tax filings of ExlService Holdings for tax years since 2003 are subject to examination by federal tax authorities, and the 2004 tax year is being examined by the U.S. Internal Revenue Service. All state tax filings of ExlService Holdings for tax years from 2003 to 2005 are being examined by New York State tax authorities. All tax filings of the Company’s subsidiaries in India are subject to examination by Indian taxing authorities for tax years since 2001-02. Management believes that the outcome of these examinations will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Inductis Inc.</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July 1, 2006, the Company acquired all of the outstanding capital stock of Inductis Inc. (“Inductis”) for $3,047,160 in cash and the issuance of 1,307,235 shares with a fair value $14,583,711 (including 257,273 shares of common stock issued as earn out consideration for performance related to the period ended December 31, 2006), which is accounted under the purchase method. Management believes that this acquisition will enable the Company to expand the types and sophistication of the research and analytics services, which are currently being offered by the Company. The results of operations of Inductis are included in the Company’s consolidated financial statements from July 1,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other intangible assets acquired in the Inductis acquisition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2007</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29"/>
        </w:trPr>
        <w:tc>
          <w:tcPr>
            <w:tcW w:w="5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spacing w:after="0"/>
              <w:rPr>
                <w:sz w:val="12"/>
                <w:szCs w:val="12"/>
                <w:color w:val="auto"/>
              </w:rPr>
            </w:pPr>
          </w:p>
        </w:tc>
        <w:tc>
          <w:tcPr>
            <w:tcW w:w="15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1"/>
        </w:trPr>
        <w:tc>
          <w:tcPr>
            <w:tcW w:w="5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6"/>
              </w:rPr>
              <w:t>amount</w:t>
            </w:r>
          </w:p>
        </w:tc>
        <w:tc>
          <w:tcPr>
            <w:tcW w:w="580" w:type="dxa"/>
            <w:vAlign w:val="bottom"/>
          </w:tcPr>
          <w:p>
            <w:pPr>
              <w:spacing w:after="0"/>
              <w:rPr>
                <w:sz w:val="14"/>
                <w:szCs w:val="14"/>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amortization</w:t>
            </w:r>
          </w:p>
        </w:tc>
        <w:tc>
          <w:tcPr>
            <w:tcW w:w="660" w:type="dxa"/>
            <w:vAlign w:val="bottom"/>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Net carrying amount</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165,000)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1,360,000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(510,000)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1,460,000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(1,095,000)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r>
      <w:tr>
        <w:trPr>
          <w:trHeight w:val="20"/>
        </w:trPr>
        <w:tc>
          <w:tcPr>
            <w:tcW w:w="5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22"/>
        </w:trPr>
        <w:tc>
          <w:tcPr>
            <w:tcW w:w="5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3,150,000</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1,770,000)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1,380,000</w:t>
            </w:r>
          </w:p>
        </w:tc>
      </w:tr>
      <w:tr>
        <w:trPr>
          <w:trHeight w:val="20"/>
        </w:trPr>
        <w:tc>
          <w:tcPr>
            <w:tcW w:w="5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Amortization expense for the three months ended March 31, 2007 and 2006 was $590,000 and $0, respectively. The estimated amortization schedule for the intangible assets on a straight-line basis is set out below:</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March 31,</w:t>
            </w:r>
          </w:p>
        </w:tc>
        <w:tc>
          <w:tcPr>
            <w:tcW w:w="8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$1,210,000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r>
      <w:tr>
        <w:trPr>
          <w:trHeight w:val="222"/>
        </w:trPr>
        <w:tc>
          <w:tcPr>
            <w:tcW w:w="87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1,380,000</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801" w:gutter="0" w:footer="0" w:header="0"/>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801"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Restriction on Cash Balances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amounting to $417,946 that will mature on various dates within the next year.</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$330,877 that will mature after March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comprehensive income for the three months ended March 31, 2007 and March 31, 2006.</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$ 5,408,626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$ 1,944,554</w:t>
            </w:r>
          </w:p>
        </w:tc>
        <w:tc>
          <w:tcPr>
            <w:tcW w:w="20" w:type="dxa"/>
            <w:vAlign w:val="bottom"/>
          </w:tcPr>
          <w:p>
            <w:pPr>
              <w:spacing w:after="0"/>
              <w:rPr>
                <w:sz w:val="18"/>
                <w:szCs w:val="18"/>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effective cash flow hedges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1,516,014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421,652</w:t>
            </w:r>
          </w:p>
        </w:tc>
        <w:tc>
          <w:tcPr>
            <w:tcW w:w="20" w:type="dxa"/>
            <w:vAlign w:val="bottom"/>
          </w:tcPr>
          <w:p>
            <w:pPr>
              <w:spacing w:after="0"/>
              <w:rPr>
                <w:sz w:val="18"/>
                <w:szCs w:val="18"/>
                <w:color w:val="auto"/>
              </w:rPr>
            </w:pPr>
          </w:p>
        </w:tc>
      </w:tr>
      <w:tr>
        <w:trPr>
          <w:trHeight w:val="223"/>
        </w:trPr>
        <w:tc>
          <w:tcPr>
            <w:tcW w:w="850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105,293</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42,797</w:t>
            </w:r>
          </w:p>
        </w:tc>
        <w:tc>
          <w:tcPr>
            <w:tcW w:w="20" w:type="dxa"/>
            <w:vAlign w:val="bottom"/>
          </w:tcPr>
          <w:p>
            <w:pPr>
              <w:spacing w:after="0"/>
              <w:rPr>
                <w:sz w:val="19"/>
                <w:szCs w:val="19"/>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1,621,307</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464,449</w:t>
            </w:r>
          </w:p>
        </w:tc>
        <w:tc>
          <w:tcPr>
            <w:tcW w:w="20" w:type="dxa"/>
            <w:vAlign w:val="bottom"/>
          </w:tcPr>
          <w:p>
            <w:pPr>
              <w:spacing w:after="0"/>
              <w:rPr>
                <w:sz w:val="18"/>
                <w:szCs w:val="18"/>
                <w:color w:val="auto"/>
              </w:rPr>
            </w:pP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$ 7,029,933</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$ 2,409,003</w:t>
            </w:r>
          </w:p>
        </w:tc>
        <w:tc>
          <w:tcPr>
            <w:tcW w:w="2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Useful Life</w:t>
            </w:r>
          </w:p>
        </w:tc>
        <w:tc>
          <w:tcPr>
            <w:tcW w:w="48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5"/>
        </w:trPr>
        <w:tc>
          <w:tcPr>
            <w:tcW w:w="69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80" w:type="dxa"/>
            <w:vAlign w:val="bottom"/>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$ 20,773,273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$ 20,068,764</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Buildings</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3,018,825</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3,006,911</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8,394,869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8,401,713</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3,592,573</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3,652,614</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944,779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927,716</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6,090,148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3,532,677</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42,814,467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39,590,395</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(19,385,154)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(18,045,071)</w:t>
            </w:r>
          </w:p>
        </w:tc>
      </w:tr>
      <w:tr>
        <w:trPr>
          <w:trHeight w:val="216"/>
        </w:trPr>
        <w:tc>
          <w:tcPr>
            <w:tcW w:w="6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$ 23,429,313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$ 21,545,324</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three months ended March 31, 2007 and 2006 was $1,850,902 and $1,764,731, respectively.</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in progress represents advances paid towards the acquisition of fixed assets and the cost of fixed assets not yet placed in service. The cost and accumulated amortization of assets under capital leases at March 31, 2007 were $771,931 and $484,095, respectively, and at December 31, 2006 were $825,177 and $456,082,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Long-Term Debt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were to mature on December 13, 2007. The Company issued additional senior promissory notes to employees of the Company during August 2003 in the amount of $272,403. Interest on the principal amount was payable on maturity and accrued at a rate equal to the greater of (i) 2.02% semiannually or (ii) London Interbank Offered Rate.</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Deferred financing costs, totaling $300,000, were included in other assets and were amortized to interest expense through the maturity date of the senior long-term debt. The Company repaid all outstanding promissory notes of $5,821,190 with a portion of the proceeds from its initial public offering. The un-amortized issuance cost was charged to interest expense upon the repayment of the senior long-term debt. For the three months ended March 31, 2007 and 2006, amortization of deferred financing costs amounted to $0 and $15,000, respectively.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w:t>
      </w:r>
    </w:p>
    <w:p>
      <w:pPr>
        <w:spacing w:after="0" w:line="96"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Holders of redeemable preferred stock were not permitted or entitled to vote on any matter required or permitted to be voted on by the stockholders of the Company. Holders of redeemable preferred stock had superior liquidation rights compared to the common stockholders. In the event of liquidation, dissolution or winding up of the operations of the Company, the redeemable preferred stockholders were entitled to receive a liquidation preference in the distribution of assets. Liquidation preference was equal to $100 per share plus any accrued and unpaid dividends. The Company is currently authorized to issue up to 15 million shares of preferred stock.</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Holders of redeemable preferred stock were entitled to receive annual dividends, as and when declared by the Company out of funds legally available equal to 10% of the liquidation preference per share. Such dividends were payable, at the election of the Company, in cash or in the form of an additional liquidation preference and accrued annually, but were to be paid only upon redemption, liquidation or as otherwise declared by the Company. Such dividends were cumulative and accrued on a day-to-day basis, whether or not earned. The total accrued dividend or interest was paid to the preferred stock holders on the date of repurchase of the preferred stock.</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Thereafter, mandatory redemption events include (i) breach in any material respect of warranties and representations made by Conseco, Inc. (the Company’s former parent) under the stock purchase agreement dated November 14, 2002 and (ii) any material adverse change in the condition, financial or otherwise, business, properties, assets, consolidated statements of income or prospects of the Company or any of its subsidiaries. In all instances, the redemption events are conditional and the redemption amount will be the liquidation preference.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three months ended March 31, 2007 and 2006, the Company recorded $0 and $153,728, respectively, as dividends and accretion on preferred stock in the consolidated statements of income.</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preferred stock was recorded net of issuance costs of $300,000, which were accreted over a period of five years. For the three months ended March 31, 2007 and 2006, amortization of issuance costs of $0 and $15,000, respectively, was included as dividends and accretion on preferred stock in the consolidated statements of income. The un-amortized issuance cost was charged to expense on the repurchase of preferred stock.</w:t>
      </w:r>
    </w:p>
    <w:p>
      <w:pPr>
        <w:spacing w:after="0" w:line="182" w:lineRule="exact"/>
        <w:rPr>
          <w:sz w:val="20"/>
          <w:szCs w:val="20"/>
          <w:color w:val="auto"/>
        </w:rPr>
      </w:pPr>
    </w:p>
    <w:p>
      <w:pPr>
        <w:ind w:right="990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Prior to the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did not have any voting rights.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October 2006 initial public offering all outstanding shares of Series B common stock of the Company converted automatically into shares of Series A common stock (the “Conversion”). In addition, immediately prior to the consummation of the offering, the Company increased its total authorized number of shares of capital stock and effected a two-for-one stock split (the “Stock Split”). As a result of the initial public offering, the Company only has one class of common stock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7"/>
              </w:rPr>
              <w:t>Three months ended</w:t>
            </w:r>
          </w:p>
        </w:tc>
      </w:tr>
      <w:tr>
        <w:trPr>
          <w:trHeight w:val="161"/>
        </w:trPr>
        <w:tc>
          <w:tcPr>
            <w:tcW w:w="8940" w:type="dxa"/>
            <w:vAlign w:val="bottom"/>
          </w:tcPr>
          <w:p>
            <w:pPr>
              <w:spacing w:after="0"/>
              <w:rPr>
                <w:sz w:val="14"/>
                <w:szCs w:val="14"/>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9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$65,112</w:t>
            </w:r>
          </w:p>
        </w:tc>
        <w:tc>
          <w:tcPr>
            <w:tcW w:w="20" w:type="dxa"/>
            <w:vAlign w:val="bottom"/>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cost</w:t>
            </w:r>
          </w:p>
        </w:tc>
        <w:tc>
          <w:tcPr>
            <w:tcW w:w="660" w:type="dxa"/>
            <w:vAlign w:val="bottom"/>
          </w:tcPr>
          <w:p>
            <w:pPr>
              <w:jc w:val="right"/>
              <w:spacing w:after="0"/>
              <w:rPr>
                <w:sz w:val="20"/>
                <w:szCs w:val="20"/>
                <w:color w:val="auto"/>
              </w:rPr>
            </w:pPr>
            <w:r>
              <w:rPr>
                <w:rFonts w:ascii="Arial" w:cs="Arial" w:eastAsia="Arial" w:hAnsi="Arial"/>
                <w:sz w:val="18"/>
                <w:szCs w:val="18"/>
                <w:color w:val="auto"/>
              </w:rPr>
              <w:t>18,930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7,749</w:t>
            </w:r>
          </w:p>
        </w:tc>
        <w:tc>
          <w:tcPr>
            <w:tcW w:w="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Net gratuity cost</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148,431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72,861</w:t>
            </w:r>
          </w:p>
        </w:tc>
      </w:tr>
      <w:tr>
        <w:trPr>
          <w:trHeight w:val="20"/>
        </w:trPr>
        <w:tc>
          <w:tcPr>
            <w:tcW w:w="8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2007</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$ 416,470</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Three months ended March 31, 2006</w:t>
            </w:r>
          </w:p>
        </w:tc>
        <w:tc>
          <w:tcPr>
            <w:tcW w:w="3840" w:type="dxa"/>
            <w:vAlign w:val="bottom"/>
          </w:tcPr>
          <w:p>
            <w:pPr>
              <w:jc w:val="right"/>
              <w:spacing w:after="0"/>
              <w:rPr>
                <w:sz w:val="20"/>
                <w:szCs w:val="20"/>
                <w:color w:val="auto"/>
              </w:rPr>
            </w:pPr>
            <w:r>
              <w:rPr>
                <w:rFonts w:ascii="Arial" w:cs="Arial" w:eastAsia="Arial" w:hAnsi="Arial"/>
                <w:sz w:val="18"/>
                <w:szCs w:val="18"/>
                <w:color w:val="auto"/>
              </w:rPr>
              <w:t>$ 279,413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motor vehicles from finance companies. Such leases are recorded as capital leases with interest rates ranging from 9.0% to 12.5%.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March 31, 2007 are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March 31,</w:t>
            </w:r>
          </w:p>
        </w:tc>
        <w:tc>
          <w:tcPr>
            <w:tcW w:w="6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2008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$137,713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144,783</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2010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347,205</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307,137</w:t>
            </w:r>
          </w:p>
        </w:tc>
      </w:tr>
    </w:tbl>
    <w:p>
      <w:pPr>
        <w:sectPr>
          <w:pgSz w:w="11900" w:h="16838" w:orient="portrait"/>
          <w:cols w:equalWidth="0" w:num="1">
            <w:col w:w="11400"/>
          </w:cols>
          <w:pgMar w:left="240" w:top="459" w:right="25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80" w:type="dxa"/>
            <w:vAlign w:val="bottom"/>
          </w:tcPr>
          <w:p>
            <w:pPr>
              <w:spacing w:after="0"/>
              <w:rPr>
                <w:sz w:val="20"/>
                <w:szCs w:val="20"/>
                <w:color w:val="auto"/>
              </w:rPr>
            </w:pPr>
            <w:r>
              <w:rPr>
                <w:rFonts w:ascii="Arial" w:cs="Arial" w:eastAsia="Arial" w:hAnsi="Arial"/>
                <w:sz w:val="18"/>
                <w:szCs w:val="18"/>
                <w:color w:val="auto"/>
              </w:rPr>
              <w:t>Less current portion</w:t>
            </w:r>
          </w:p>
        </w:tc>
        <w:tc>
          <w:tcPr>
            <w:tcW w:w="53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111,636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195,501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320" w:type="dxa"/>
            <w:vAlign w:val="bottom"/>
            <w:vMerge w:val="restart"/>
          </w:tcPr>
          <w:p>
            <w:pPr>
              <w:jc w:val="right"/>
              <w:ind w:right="3972"/>
              <w:spacing w:after="0"/>
              <w:rPr>
                <w:sz w:val="20"/>
                <w:szCs w:val="20"/>
                <w:color w:val="auto"/>
              </w:rPr>
            </w:pPr>
            <w:r>
              <w:rPr>
                <w:rFonts w:ascii="Arial" w:cs="Arial" w:eastAsia="Arial" w:hAnsi="Arial"/>
                <w:sz w:val="18"/>
                <w:szCs w:val="18"/>
                <w:color w:val="auto"/>
              </w:rPr>
              <w:t>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160" w:top="131" w:right="11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November 2011. Future minimum lease payments under non-cancelable agreements expiring after more than twelve months are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March 31,</w:t>
            </w:r>
          </w:p>
        </w:tc>
        <w:tc>
          <w:tcPr>
            <w:tcW w:w="8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$1,366,532</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967,948</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2010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329,236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2,663,716</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under operating leases was $694,860 and $676,837 for the three months ended March 31, 2007 and 2006,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recorded income tax expense of $1,084,263 for the three months ended March 31, 2007. This amount includes current taxes of $1,671,323 offset by a deferred tax benefit of $587,060.</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effective rate of taxes has increased to a provision of 17% for the three months ended March 31, 2007, as compared to a benefit of 9% for the three months ended March 31, 2006. This is due to the changes in the geographic distribution of our income. Certain of our Indian subsidiaries benefit from a tax holiday until March 2009.</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fiscal year under the Indian Income Tax Act ends on March 31. A portion of the Company’s Indian operations qualify for deduction from taxable income because its profits are attributable to work performed in Export Processing Zones. This deduction is available for a period of ten consecutive years beginning from the year in which the entity commenced commercial operations. Accordingly, Exl India and NCOP benefit from this deduction. This deduction shall terminate if the Company ceases to operate in Export Processing Zones. ESSPL is not eligible for this deduction. The export revenue of Exl India qualifies for a deduction from taxable income because its profits are attributable to work performed in Export Processing Zones, and a substantial portion of the temporary differences would not have any tax consequences as they will reverse within the tax holiday period.</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and (iv) deferred revenue with respect to the domestic operations of the Company. At March 31, 2007, the Company performed an analysis of the deferred tax asset valuation allowance for its Indian subsidiary. Based on this analysis, the Company has concluded that a valuation allowance offsetting the deferred tax assets should continue to be recorded at March 31, 2007 based on the conclusion that it is more likely than not that there will not be sufficient future taxable income to realize the deferred tax assets. The valuation allowance at March 31, 2007 is approximately $3.6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fiscal 2003, the Company instituted the ExlService Holdings, Inc.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w:t>
      </w:r>
    </w:p>
    <w:p>
      <w:pPr>
        <w:spacing w:after="0" w:line="10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ungranted shares under the 2003 Plan was added to the pool of available shares under the 2006 Plan (as defined below).</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fiscal 2006, the Company instituted the ExlService Holdings, Inc. 2006 Omnibus Award Plan (the “2006 Plan”). The 2006 Plan covers all the employees of the Company and its subsidiaries. Under the 2006 Plan, the Committee may grant awards of nonqualified stock options, or NSOs, incentive stock options, or ISOs,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exercise period. The vesting period is determined for the options issued on the date of the grant and is non-transferable during the life of the option. The options generally vest incrementally over a period of 4 years from the date of grant with 10% vesting in year 1, 20% vesting in year 2, 30% vesting in year 3 and 40% vesting in year 4. Pursuant to the 2006 Plan, the Company reserved 3,399,384 shares of common stock (in addition to the available pool of 2003 plan) for the granting of options. If an employee is terminated they must exercise any vested options within 90 days after termination or the vested options are forfeited.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 based compensation plan is as follows;</w:t>
      </w:r>
    </w:p>
    <w:p>
      <w:pPr>
        <w:spacing w:after="0" w:line="207"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March 31,</w:t>
      </w:r>
    </w:p>
    <w:tbl>
      <w:tblPr>
        <w:tblLayout w:type="fixed"/>
        <w:tblInd w:w="460" w:type="dxa"/>
        <w:tblCellMar>
          <w:top w:w="0" w:type="dxa"/>
          <w:left w:w="0" w:type="dxa"/>
          <w:bottom w:w="0" w:type="dxa"/>
          <w:right w:w="0" w:type="dxa"/>
        </w:tblCellMar>
      </w:tblPr>
      <w:tr>
        <w:trPr>
          <w:trHeight w:val="143"/>
        </w:trPr>
        <w:tc>
          <w:tcPr>
            <w:tcW w:w="88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$212,445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550,000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199,544</w:t>
            </w:r>
          </w:p>
        </w:tc>
        <w:tc>
          <w:tcPr>
            <w:tcW w:w="20" w:type="dxa"/>
            <w:vAlign w:val="bottom"/>
          </w:tcPr>
          <w:p>
            <w:pPr>
              <w:spacing w:after="0"/>
              <w:rPr>
                <w:sz w:val="18"/>
                <w:szCs w:val="18"/>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828,209</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199,544</w:t>
            </w:r>
          </w:p>
        </w:tc>
      </w:tr>
      <w:tr>
        <w:trPr>
          <w:trHeight w:val="20"/>
        </w:trPr>
        <w:tc>
          <w:tcPr>
            <w:tcW w:w="8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unrecognized compensation cost for unvested options as of March 31, 2007, is $6,304,336, which is expected to be expensed over a weighted average period of 2.24 years. The fair value of the stock was estimated on the date of grant using third party valuations during the period when the Company was a non-public entity. The fair value of each option is estimated on the date of grant using the Black-Scholes option-pricing model with the following weighted average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Expected life (years)</w:t>
            </w:r>
          </w:p>
        </w:tc>
        <w:tc>
          <w:tcPr>
            <w:tcW w:w="1140" w:type="dxa"/>
            <w:vAlign w:val="bottom"/>
            <w:gridSpan w:val="2"/>
          </w:tcPr>
          <w:p>
            <w:pPr>
              <w:jc w:val="right"/>
              <w:ind w:right="612"/>
              <w:spacing w:after="0"/>
              <w:rPr>
                <w:sz w:val="20"/>
                <w:szCs w:val="20"/>
                <w:color w:val="auto"/>
              </w:rPr>
            </w:pPr>
            <w:r>
              <w:rPr>
                <w:rFonts w:ascii="Arial" w:cs="Arial" w:eastAsia="Arial" w:hAnsi="Arial"/>
                <w:sz w:val="18"/>
                <w:szCs w:val="18"/>
                <w:color w:val="auto"/>
              </w:rPr>
              <w:t>6.25</w:t>
            </w: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Volatility</w:t>
            </w: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estimates the expected term of options granted by taking the average of the vesting term and the contractual term of the option, as illustrated in the SAB 107. In absence of history of volatility of our stock trading we have used the volatility of stocks of comparative companies with estimated life of options similar to ours. The risk-free interest rate that we use in the option valuation model is based on U.S. treasury zero-coupon bonds with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1,642,190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140,000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(90,076)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Forfeited</w:t>
            </w:r>
          </w:p>
        </w:tc>
        <w:tc>
          <w:tcPr>
            <w:tcW w:w="26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(64,550)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1,627,564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2007</w:t>
            </w: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289,864</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2007</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2,469,398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weighted-average fair value of options granted during the three months ended March 31, 2007 and 2006 was $12.82 and $0, respectively. The weighted-average remaining contractual life of options outstanding and exercisable at March 31, 2007 was 8.14 years. The weighted average fair value of vested and exercisable options at March 31, 2007 is $3.49.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Weighted</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4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2"/>
                <w:szCs w:val="12"/>
                <w:color w:val="auto"/>
              </w:rPr>
            </w:pP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stock</w:t>
            </w:r>
          </w:p>
        </w:tc>
        <w:tc>
          <w:tcPr>
            <w:tcW w:w="14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value</w:t>
            </w:r>
          </w:p>
        </w:tc>
        <w:tc>
          <w:tcPr>
            <w:tcW w:w="2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units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 vested at December 31,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267,270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85"/>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23.60</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ind w:left="1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85"/>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(11,618)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8.65</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ind w:left="1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 vested at March 31,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422,652</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85"/>
              </w:rPr>
              <w:t>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20" w:firstLine="456"/>
        <w:spacing w:after="0" w:line="335" w:lineRule="auto"/>
        <w:rPr>
          <w:sz w:val="20"/>
          <w:szCs w:val="20"/>
          <w:color w:val="auto"/>
        </w:rPr>
      </w:pPr>
      <w:r>
        <w:rPr>
          <w:rFonts w:ascii="Arial" w:cs="Arial" w:eastAsia="Arial" w:hAnsi="Arial"/>
          <w:sz w:val="15"/>
          <w:szCs w:val="15"/>
          <w:color w:val="auto"/>
        </w:rPr>
        <w:t>As of March 31, 2007, unrecognized compensation cost of $5,330,693 is expected to be expensed over a weighted average period of 2.3 years. The weighted-average fair value of restricted stock and restricted stock units under the 2006 Plan during three months ended March 31, 2007 was $23.60. The weighted-average remaining contractual life of restricted stock and restricted stock units outstanding and exercisable at March 31, 2007 was 9.34 years.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options and restricted stock has been adjusted to reflect the stock split described in Note 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2005, the Company granted to a member of its advisory board options to purchase 10,000 shares (after giving effect to the Stock Split and Conversion) of Series B common stock at an exercise price of $11.88 per share under the 2003 Plan. Using the Black-Scholes valuation model, the fair value of these options at March 31, 2007 was determined to be $139,870. In 2003, the Company also granted to members of its advisory board options to purchase 20,000 shares (after giving effect to the Stock Split and Conversion) of Series B common stock at an exercise price of $0.12 per share under the 2003 Plan. Using the Black-Scholes valuation model, the fair value of these options at March 31, 2007 was determined to be $410,794. These options vest over a period of four years and expire ten years from the vesting date. For the three months ended March 31, 2007 and 2006, the Company recorded compensation expense of $26,648 and $14,753, respectively. The fair value and related compensation expense will be remeasured for the unvested portion of these options at the end of each reporting period until such options are fully vested.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230,200 shares of Series A common stock at an exercise price of $6.25 per share in July 2004 to one of our clients. The option is fully exercisable and expires ten years from the date of grant. The value of the options on the date of issuance, using the Black-Scholes valuation model was approximately $1,792,000. Such amount is being amortized as a reduction in revenue over the five-year term of the services agreement. Amortization for the three months ended March 31, 2007 and 2006 was $89,604 and $89,604,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Company received services in India for employee training performed by a company controlled by a stockholder. This company is one of the many companies rendering such services to Exl India. The Company recorded expenses related to these services of $0 and $18,448 for the three months ended March 31, 2007 and 2006, respectively. At March 31, 2007 the Company had a balance payable of $1,869 related to these services. The agreement with this company terminated on September 30, 2006.</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the Company’s significant stockholders. The Company recognized approximately $21,602 and $25,650 in the three months ended March 31, 2007 and 2006, respectively, in advisory fees revenue and expense reimbursements from Williams Scotsman, Inc. At March 31, 2007 and December 31, 2006 the Company had an account receivable of $21,602 and $59,633, respectively, related to these services.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provides BPO services to MedSynergies, Inc., a provider of outsourced billing, claims administration and payment processing services to healthcare providers. MedSynergies, Inc. is controlled by entities related to one of the Company’s significant stockholders. The Company recognized revenue of approximately $195,030 and $0 in the three months ended March 31, 2007 and 2006, respectively, from MedSynergies, Inc. At March 31, 2007 and December 31, 2006 the Company had an account receivable of $195,030 and $130,020, respectively, related to these services.</w:t>
      </w:r>
    </w:p>
    <w:p>
      <w:pPr>
        <w:sectPr>
          <w:pgSz w:w="11900" w:h="16838" w:orient="portrait"/>
          <w:cols w:equalWidth="0" w:num="1">
            <w:col w:w="11420"/>
          </w:cols>
          <w:pgMar w:left="240" w:top="459" w:right="239" w:bottom="1440" w:gutter="0" w:footer="0" w:header="0"/>
        </w:sectPr>
      </w:pPr>
    </w:p>
    <w:bookmarkStart w:id="17" w:name="page18"/>
    <w:bookmarkEnd w:id="17"/>
    <w:p>
      <w:pPr>
        <w:ind w:right="100" w:firstLine="456"/>
        <w:spacing w:after="0" w:line="298" w:lineRule="auto"/>
        <w:rPr>
          <w:sz w:val="20"/>
          <w:szCs w:val="20"/>
          <w:color w:val="auto"/>
        </w:rPr>
      </w:pPr>
      <w:r>
        <w:rPr>
          <w:rFonts w:ascii="Arial" w:cs="Arial" w:eastAsia="Arial" w:hAnsi="Arial"/>
          <w:sz w:val="16"/>
          <w:szCs w:val="16"/>
          <w:color w:val="auto"/>
        </w:rPr>
        <w:t>The Company provides advisory services to Duane Reade Holdings, Inc., a New York City drugstore chain. Duane Reade Holdings, Inc. is indirectly owned by one of the Company’s significant stockholders. The Company recognized revenue of approximately $114,500 and $74,520 in the three months ended March 31, 2007 and 2006, respectively, for advisory fees and expense reimbursements from Duane Reade Holdings, Inc. At March 31, 2007 and December 31, 2006 the Company had an account receivable of $90,810 and $55,350, respectively, related to these services.</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provides analytical services to FTVentures, one of the Company’s significant stockholders, for which the Company recognized revenue of approximately $19,315 and $0 in the three months ended March 31, 2007 and 2006, respectively. At March 31, 2007 and December 31, 2006 the Company had an account receivable of $4,900 and $9,800, respectively, related to these services.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entered into employment and non-competition agreements with certain members of senior management in November 2002. The initial term of these agreements was three years and the Company had the option to extend the term for two additional one-year periods. The agreements had been extended through September 30, 2006. Upon termination of employment under conditions as defined, 25% of certain common stock, as defined, held by such senior management is subject to repurchase by the Company at cost for up to one year and at fair market value if after one year for a two-year period. Such common stock was not subject to repurchase after three years. These agreements were amended and restated in their entirety effective September 30, 2006. The amended and restated employment agreements will expire in December 31, 2009 and will automatically extend for successive 12-month periods unless either party provides the other with 120 days’ notice of its desire not to extend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2007 and 2006, the Company accrued management fees of $0 and $50,000, respectively, to certain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Borders>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United States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$ 19,154,708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9,557,583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20,574,825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11,996,401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5840" w:type="dxa"/>
            <w:vAlign w:val="bottom"/>
            <w:gridSpan w:val="3"/>
          </w:tcPr>
          <w:p>
            <w:pPr>
              <w:jc w:val="right"/>
              <w:ind w:right="300"/>
              <w:spacing w:after="0"/>
              <w:rPr>
                <w:sz w:val="20"/>
                <w:szCs w:val="20"/>
                <w:color w:val="auto"/>
              </w:rPr>
            </w:pPr>
            <w:r>
              <w:rPr>
                <w:rFonts w:ascii="Arial" w:cs="Arial" w:eastAsia="Arial" w:hAnsi="Arial"/>
                <w:sz w:val="18"/>
                <w:szCs w:val="18"/>
                <w:color w:val="auto"/>
              </w:rPr>
              <w:t>113,595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5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$ 39,854,448</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21,557,984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580" w:type="dxa"/>
            <w:vAlign w:val="bottom"/>
            <w:vMerge w:val="restart"/>
          </w:tcPr>
          <w:p>
            <w:pPr>
              <w:jc w:val="right"/>
              <w:ind w:right="2852"/>
              <w:spacing w:after="0"/>
              <w:rPr>
                <w:sz w:val="20"/>
                <w:szCs w:val="20"/>
                <w:color w:val="auto"/>
              </w:rPr>
            </w:pPr>
            <w:r>
              <w:rPr>
                <w:rFonts w:ascii="Arial" w:cs="Arial" w:eastAsia="Arial" w:hAnsi="Arial"/>
                <w:sz w:val="18"/>
                <w:szCs w:val="18"/>
                <w:color w:val="auto"/>
              </w:rPr>
              <w:t>12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3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31, 2007</w:t>
            </w:r>
          </w:p>
        </w:tc>
        <w:tc>
          <w:tcPr>
            <w:tcW w:w="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2006</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3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United States</w:t>
            </w:r>
          </w:p>
        </w:tc>
        <w:tc>
          <w:tcPr>
            <w:tcW w:w="3500" w:type="dxa"/>
            <w:vAlign w:val="bottom"/>
            <w:gridSpan w:val="2"/>
          </w:tcPr>
          <w:p>
            <w:pPr>
              <w:ind w:left="33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1,874,613</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2,022,808</w:t>
            </w:r>
          </w:p>
        </w:tc>
        <w:tc>
          <w:tcPr>
            <w:tcW w:w="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21,548,946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19,518,994</w:t>
            </w:r>
          </w:p>
        </w:tc>
        <w:tc>
          <w:tcPr>
            <w:tcW w:w="20" w:type="dxa"/>
            <w:vAlign w:val="bottom"/>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United Kingdom</w:t>
            </w:r>
          </w:p>
        </w:tc>
        <w:tc>
          <w:tcPr>
            <w:tcW w:w="3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23,429,313</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21,545,324</w:t>
            </w:r>
          </w:p>
        </w:tc>
        <w:tc>
          <w:tcPr>
            <w:tcW w:w="2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March 31, 2007, the Company had committed to spend approximately $1,139,674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this policy, the Company has benefited from certain incentives on import of capital goods. Under this policy, Exl India, Inductis India and NCOP must achieve certain export ratios and realize revenues attributable to exports of approximately $244.5 million, $21.8 million and $43.4 million, respectively, over a period of five years.</w:t>
      </w:r>
    </w:p>
    <w:p>
      <w:pPr>
        <w:spacing w:after="0" w:line="14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If Exl India, Inductis India and NCOP are unable to achieve their commitments over the specified period, Exl India, Inductis India and NCOP may be required to refund such incentives along with penalties and fines. Management, however, believes that Exl India and NCOP will achieve these export levels within the required timeframe.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Indian tax authorities over the application of some of its transfer pricing policies. The Company has received three assessment orders from the Indian tax authorities with respect to their audit of certain of the Company’s subsidiaries.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first assessment for the tax year 2003-04 requires that Exl India pay additional taxes in the amount of approximately $2.2 million. The Company has paid approximately $0.7 million to the Indian tax authorities as a deposit in respect of the first assessment while it is contesting the above order before the appellate authorities.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second assessment order issued by the Indian taxing authorities regarding transfer pricing is with respect to their audit of EXL India’s 2004-05 tax year. The assessment order alleges that the transfer price applied to transactions between EXL India and EXL Inc. for the 2004-05 tax year was not appropriate and requires that EXL India pay additional taxes of $3.8 million. We have paid approximately $1.6 million to the Indian tax authorities as a deposit with respect to this assessment while we are contesting the above order before the appellate authorities.</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third assessment requires the payment by Exl Inc. of approximately $3.4 million for the tax year 2003-04. Out of $3.4 million, the Company has already paid $1.6 million as a deposit in respect of the third assessment while it is contesting the above order before the appellate authorities.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There is a possibility that the Company might receive similar orders for subsequent years until the above disputes are resolved. Amounts paid as deposits in respect of the assessments described above, which amounts total $3.9 million as of March 31, 2007, are included in “Other assets” in our March 31, 2007 Consolidated Balance Sheet.</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2006 Form 10-K. Some of the statements in the following discussion are forward looking statements. See “Forward 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recognized provider of offshore solutions, including BPO, research and analytics and advisory services, primarily serving the needs of Global 1000 companies in the banking, financial services and insurance sector as well as other industry sectors such as utilities. We provide integrated front-, middle- and back-office process outsourcing services and manage large-scale processes for our U.S. and U.K.-based clients.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A significant portion of our business relates to processes that we believe are integral to our clients’ operations, and the close nature of our relationships with our clients assists us in developing strong strategic long-term relationships with them.</w:t>
      </w:r>
    </w:p>
    <w:p>
      <w:pPr>
        <w:sectPr>
          <w:pgSz w:w="11900" w:h="16838" w:orient="portrait"/>
          <w:cols w:equalWidth="0" w:num="1">
            <w:col w:w="11420"/>
          </w:cols>
          <w:pgMar w:left="240" w:top="459" w:right="239" w:bottom="711"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711"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market our services directly through our sales and marketing team, which operates out of New York and London, and our business development team, which operates out of Noida, India. We currently operate nine operations facilities in India and the U.S. including two operation facilities of Inductis.</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completed the Inductis acquisition on July 1, 2006. The Inductis acquisition has expanded the types and sophistication of the research and analytics services we offer. The results of operations of Inductis are consolidated in our financial statements with effect from July 1, 2006. As a result, our results of operations for the three months ended March 31, 2007 are not comparable to our results of operations for the three months ended March 31, 2006. See “Inductis Acquisition” below.</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October, 2006, we consummated an initial public offering of our shares of common stock. Our initial public offering resulted in net proceeds of $69.8 million to us after deducting underwriting discounts and commissions and related expenses. Our common stock is traded on the Nasdaq Global Select Market under the symbol “EXLS.” In connection with the initial public offering, we effected a conversion of our common stock and a two-for-one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generate revenues principally from contracts to provide BPO, research and analytics and advisory services. For the three months ended March 31, 2007, we had total revenues of $39.9 million compared to total revenues of $21.6 million for the three months ended March 31, 2006, an increase of 84.7%. A significant portion of this increase is attributable to the Inductis Acquisition, which contributed $4.2 million to our revenues for the three months ended March 31, 2007. The key drivers of our revenue growth for the three months ended March 31, 2007 were as follows:</w:t>
      </w:r>
    </w:p>
    <w:p>
      <w:pPr>
        <w:spacing w:after="0" w:line="3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our client base, both organically and inorganically.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growth in existing client relationships.</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advisory services including Sarbanes – Oxley compliance, internal audit outsourcing, internal controls documentation and testing and research and analytics services.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these operations centers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Our revenues may also be adversely affected to the extent our existing clients reduce or eliminate their use of our service offerings. In particular, we expect our revenues in 2007 to be affected by the decision of one of our clients to change its outsourcing strategy by moving more of its work from third-party contractors to its in-house group operating offshore.</w:t>
      </w:r>
    </w:p>
    <w:p>
      <w:pPr>
        <w:spacing w:after="0" w:line="12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acquisition of Inductis in July 2006.</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advisory services include risk assessment, documentation and internal controls testing and business process re-engineering and process quality monitoring.</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research and analytics services and our advisory services are cyclical and can be significantly affected by variations in business cycles. Changes in the deadline and the scope of work required for compliance with the Sarbanes-Oxley Act of 2002, for example, could have a significant impact on certain risk advisory service offerings of our advisory services business.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48.1% and 51.6%, respectively, of our total revenues in the three months ended March 31, 2007 and approximately 44.3% and 55.6%, respectively, of our total revenues in the three months ended March 31, 2006.</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March 31, 2007 and 2006, our total revenues from our two largest clients grew to $11.0 million and $9.5 million, respectively, accounting for 27.6% and 23.8% of our total revenues, respectively, during these periods.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provide services to Norwich Union (an Aviva company), which represented $11.0 million, or 27.6%, of our total revenues in the three months ended March 31, 2007 and $9.8 million, or 45.5%, of our total revenues for the three months ended March 31, 2006, under two framework agreements and work orders generated by these agreements. The first framework agreement and all work orders under that agreement cannot be terminated by our client without cause prior to January 2008. The second framework agreement expires in July 2009 and can be terminated by Norwich Union without cause upon six months prior notice and payment to us of a break-up fee during its initial term. After these initial terms, Norwich Union may terminate these agreements without cause or penalty with six months notice. We provide services to Centrica, which represented $9.5 million, or 23.8%, of our total revenues for the three months ended March 31, 2007 and $2.1 million, or 9.7% of our total revenues for the three months ended March 31, 2006, under an agreement that has an initial term that expires in July 2008 and that can be terminated by Centrica for cause only during its initial term. Contracts with other BPO clients representing approximately 27.1% of our total BPO revenues for the three months ended March 31, 2007 will expire prior to March 31, 2008, while the remainder of our BPO contracts expire in more than one year or do not have specified initial terms and remain in effect until terminated or until there are no work orders or engagement schedules.</w:t>
      </w:r>
    </w:p>
    <w:p>
      <w:pPr>
        <w:sectPr>
          <w:pgSz w:w="11900" w:h="16838" w:orient="portrait"/>
          <w:cols w:equalWidth="0" w:num="1">
            <w:col w:w="11420"/>
          </w:cols>
          <w:pgMar w:left="240" w:top="459" w:right="239" w:bottom="99" w:gutter="0" w:footer="0" w:header="0"/>
        </w:sectPr>
      </w:pPr>
    </w:p>
    <w:bookmarkStart w:id="20" w:name="page21"/>
    <w:bookmarkEnd w:id="20"/>
    <w:p>
      <w:pPr>
        <w:ind w:firstLine="456"/>
        <w:spacing w:after="0" w:line="268" w:lineRule="auto"/>
        <w:rPr>
          <w:sz w:val="20"/>
          <w:szCs w:val="20"/>
          <w:color w:val="auto"/>
        </w:rPr>
      </w:pPr>
      <w:r>
        <w:rPr>
          <w:rFonts w:ascii="Arial" w:cs="Arial" w:eastAsia="Arial" w:hAnsi="Arial"/>
          <w:sz w:val="18"/>
          <w:szCs w:val="18"/>
          <w:color w:val="auto"/>
        </w:rPr>
        <w:t>We derived revenues from 13 and 2 new clients for our services, including advisory and research and analytics services, in the three months ended March 31,</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240" w:top="131" w:right="9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2007 and 2006, respectively. By acquiring Inductis, we obtained 17 additional new clients in 2006. Although we are increasing and diversifying our customer base, we expect in the near future that a significant portion of our revenues will continue to be contributed by a limited number of large clients.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March 31, 2007 and March 31, 2006, 4.5% and 4.8%, respectively, of our revenues represent reimbursement of such expenses.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results may vary significantly from period to period as a result of various factors, including, for example, seasonal changes in our clients’ operations.</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U.K. pound sterling and the U.S. dollar or if our hedging strategy is unsuccessful.</w:t>
      </w:r>
    </w:p>
    <w:p>
      <w:pPr>
        <w:spacing w:after="0" w:line="11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Norwich Union has the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recently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one of our facilities in Pune. The affected facility generated 16.1% and 25.0% of our total revenues in the three months ended March 31, 2007 and March 31, 2006, respectively. We expect that any decline in revenues that we would experience when Norwich Union exercises this option would be partially offset by a decrease in expenses associated with the operation of the affected Pune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stock options to employees directly involved in providing services to our clients.</w:t>
      </w:r>
    </w:p>
    <w:p>
      <w:pPr>
        <w:sectPr>
          <w:pgSz w:w="11900" w:h="16838" w:orient="portrait"/>
          <w:cols w:equalWidth="0" w:num="1">
            <w:col w:w="11420"/>
          </w:cols>
          <w:pgMar w:left="240" w:top="459" w:right="239" w:bottom="1440" w:gutter="0" w:footer="0" w:header="0"/>
        </w:sectPr>
      </w:pPr>
    </w:p>
    <w:bookmarkStart w:id="22" w:name="page23"/>
    <w:bookmarkEnd w:id="22"/>
    <w:p>
      <w:pPr>
        <w:ind w:firstLine="456"/>
        <w:spacing w:after="0" w:line="255" w:lineRule="auto"/>
        <w:rPr>
          <w:sz w:val="20"/>
          <w:szCs w:val="20"/>
          <w:color w:val="auto"/>
        </w:rPr>
      </w:pPr>
      <w:r>
        <w:rPr>
          <w:rFonts w:ascii="Arial" w:cs="Arial" w:eastAsia="Arial" w:hAnsi="Arial"/>
          <w:sz w:val="18"/>
          <w:szCs w:val="18"/>
          <w:color w:val="auto"/>
        </w:rPr>
        <w:t>A significant portion of our increase in cost of revenues for the three months ended March 31, 2007 over the same period in 2006 is a result of the Inductis acquisition, which contributed $3.7 million to our consolidated cost of revenues. We expect our cost of revenues to continue to increase as we continue to add professionals in India and the United States, to service additional business, in particular as our research and analytics and advisory services businesses grow, both organically and as a result of acquisitions, and as wages continue to increase in India. In particular, we expect training costs to continue to increase as we continue to add staff to service new clients.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in a new contract engages us,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expect cost of revenues to increase when we add new operations facilities due to increases in telecommunication and rent expenses and other facilities operating costs. In particular, we recently established a new operations facility in Noida, India, having a total capacity of 1,200 workstation out of which approximately 400 workstations became operational in April 2007, and are contractually committed to one of our clients to establish and maintain a viable BPO offshore operation outside of India by September 2008. As we increase the amount of physical infrastructure available to perform our operations, we expect that utilization will decrease and this will have a negative impact on our operating margin. The Finance Act for India for the upcoming fiscal year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expense in connection with any expansion of our facilities.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client relationship management, travel and brand building. We expect that sales and marketing expenses will continue to increase as we invest heavily in our front-end sales and client relationship management functions to better serve our clients. We also expect our costs to increase as we continue to strengthen our back-end support and enabling functions and drive additional management development programs and training initiatives. We also expect our accounting, insurance and legal fees to continue to increase as a result of being a public company. SG&amp;A expenses also include non-cash amortization of stock compensation expense related to our issuance of stock options and restricted stock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in the Inductis acquisition is part of depreciation and amortization. Amortization of deferred stock compensation expenses is not included in depreciation and amortization, but is included as an element of compensation expenses as described above. As we add facilities, including our new operations facility in Noida, India, having a total capacity of 1,200 workstations out of which approximately 400 workstations became operational in April 2007, we expect that depreciation expense will increase, reflecting additional investments in equipment such as desktop computers, servers and other infrastructure.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 sterling. Accordingly, our results of operations are adversely affected if the pound sterling depreciates against the U.S. dollar. Although substantially all of our revenues are primarily denominated in U.S. dollars or U.K. pound sterling (48.1% and 51.6%, respectively, for the three months ended March 31, 2007), most of our expenses (62.0% in the three months ended March 31, 2007) were incurred and paid in Indian rupees. The exchange rates among the Indian rupee, the U.K. pound sterling and the U.S. dollar have changed substantially in recent years and may fluctuate substantially in the future. The results of our operations are affected as the Indian rupee appreciates or depreciates against the U.S. dollar or the U.K. pound sterling.</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impact of exchange rate fluctuations for the three months ended March 31, 2007 was favorable to us as compared to the three months ended March 31, 2006. See “Item 3. 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Regulation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that is registered with a software technology park or an export processing zone in India, such as our subsidiaries Exl India and Inductis India Private Limited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received are earned within a period of 12 months. If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for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 of employees and discharge of foreign exchange are met using the foreign currency in that account. As and when funds are required in India, such funds are transferred to an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for a tax holiday until March 31, 2009.</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For example, we recognized lower income tax expense with respect to the Company’s foreign operations for the three months ended March 31, 2007 as a result of the tax holiday, compared to approximately $1.8 million that we would have incurred if the tax holiday had not been available for that period (without accounting for double taxation treaty set-offs). When our tax holiday expires or terminates, our tax expense will materially increase. While we have incurred losses in the prior periods under applicable Indian tax laws, we have decided not to carry forward these losses.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recently enacted Finance Act for India for the upcoming fiscal year includes modifications of existing tax regulations including the imposition of Minimum Alternative Tax obligations beginning in April 2007. In addition, the Finance Act imposes a Service Tax on lease rentals of certain properties.</w:t>
      </w:r>
    </w:p>
    <w:p>
      <w:pPr>
        <w:spacing w:after="0" w:line="85"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recently enacted Finance Act also subjects equity compensation to a Fringe Benefit Tax (the “FBT”). FBT will be based on the gain in the fair market value as of the vesting date. The FBT has the potential to increase our tax costs and/or those of our India-based employees. We are in the process of evaluating the impact of these new taxes and have not determined the full extent to which these proposed provisions will affect our results of operations and financial position.</w:t>
      </w:r>
    </w:p>
    <w:p>
      <w:pPr>
        <w:sectPr>
          <w:pgSz w:w="11900" w:h="16838" w:orient="portrait"/>
          <w:cols w:equalWidth="0" w:num="1">
            <w:col w:w="11420"/>
          </w:cols>
          <w:pgMar w:left="240" w:top="459" w:right="239" w:bottom="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U.S. and Indian transfer-pricing regulations require that any international transaction involving associated enterprises be at an arm’s-length price. Transactions among our subsidiaries and EXL Service Holdings Inc.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three assessment orders from the Indian tax authorities with respect to their audit of certain of our subsidiaries.</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first assessment order issued by the Indian taxing authorities regarding transfer pricing relates to their audit of EXL India’s 2003-04 tax year. The assessment order alleges that the transfer price we applied to transactions between EXL India and EXL Inc. for the 2003-04 tax year was not appropriate and disallows certain expenses claimed as tax deductible by EXL India. This assessment demands that EXL India pay additional taxes in the amount of $2.2 million. We have paid approximately $0.7 million to the Indian tax authorities as a deposit in respect of this assessment and may have to deposit additional amounts in the future while we are contesting the above order before the appellate authorities.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$3.8 million. We have paid approximately $1.6 million to the Indian tax authorities as a deposit in respect of this assessment and may have to deposit additional amounts in the future while we are contesting the above order before the appellate authorities.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$3.4 million. Out of the $3.4 million demanded, we have paid approximately $1.6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for the 2003-04 tax year as well as for subsequent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unaudited consolidated financial statements. We do not expect any impact from these assessments on our future income tax expense. We are subject to U.S. income taxes on the profits we recognize in the United States. There is a possibility that we might receive similar orders for subsequent years until the common dispute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Inductis Acquisition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The total consideration for the Inductis acquisition, including the assumption of liabilities, earn-out and contingent payments and transaction costs, could be approximately $31.5 million. As of March 31, 2007, we have paid approximately $17.7 million of such consideration including $3.0 million cash and the issuance of 1,307,235 shares of our common stock.</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also agreed to make certain additional earn-out payments to the former holders of Inductis securities based on the satisfaction of certain agreed-upon financial performance goals for the Inductis business in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The value of any such contingent payments is expected to range from $0.6 million to $6.5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unaudited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occur exactly as forecasted,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EXL Service Holdings Inc., we believe we have adequately accrued for probable exposures as of March 31, 2007. To the extent we are able to prevail in matters for which accruals have been established or are required to pay amounts in excess of our reserves, our effective tax rate in a given financial statement period may be materially impacted.</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Applicable transfer pricing regulations require that any international transaction involving associated enterprises be at an arm’s length price. Transactions among our subsidiaries and EXL Service Holdings Inc. may be considered such transactions. Accordingly, we determine the pricing among our associated enterprises on the basis of detailed functional and economic analysis involving benchmarking against transactions among entities that are not under common control. We are currently involved in disputes with Indian tax authorities over the application of some of our transfer pricing policies.</w:t>
      </w:r>
    </w:p>
    <w:p>
      <w:pPr>
        <w:sectPr>
          <w:pgSz w:w="11900" w:h="16838" w:orient="portrait"/>
          <w:cols w:equalWidth="0" w:num="1">
            <w:col w:w="11400"/>
          </w:cols>
          <w:pgMar w:left="240" w:top="459" w:right="259" w:bottom="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0" w:gutter="0" w:footer="0" w:header="0"/>
          <w:type w:val="continuous"/>
        </w:sectPr>
      </w:pPr>
    </w:p>
    <w:bookmarkStart w:id="25" w:name="page26"/>
    <w:bookmarkEnd w:id="2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March 31, 2007, we performed an analysis of the deferred tax asset valuation allowance on our Indian subsidiaries and concluded that a valuation allowance offsetting the deferred tax assets be recorded, based on our conclusion that it is more likely than not that there will not be future taxable income to realize the deferred tax assets. We perform this assessment at the end of each period. See Note 12, “Income Taxes,” in the notes to our unaudited consolidated financial statements for the three months ended March 31,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See Note 2, “Summary of Significant Accounting Policies,” and Note 13, “Stock Based Compensation,” in the notes to our unaudited consolidated financial statements for the three months ended March 31, 2007, for significant factors considered in determining the fair value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pound sterling and the Indian rupee and U.S. dollars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2007, forward exchange contracts of $40.7 million and U.K. pound sterling 23.3 million were outstanding. We have evaluated the effectiveness of all our forward exchange contracts. For the three months ended March 31, 2007 and 2006, net gains from ineffective cash flow hedges included in the consolidated statements of income totaled $70,668 and $185,989 respectively. For hedge relationships discontinued because the forecasted transaction is not expected to occur by the end of the originally specified period, any related derivative amounts recorded in accumulated comprehensive income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March 31,</w:t>
      </w:r>
    </w:p>
    <w:tbl>
      <w:tblPr>
        <w:tblLayout w:type="fixed"/>
        <w:tblInd w:w="46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3"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Revenues (1)</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$39,504,001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$21,457,814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Revenues (from related party) (1)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350,447</w:t>
            </w:r>
          </w:p>
        </w:tc>
        <w:tc>
          <w:tcPr>
            <w:tcW w:w="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$39,854,448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$21,557,984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24,481,968</w:t>
            </w:r>
          </w:p>
        </w:tc>
        <w:tc>
          <w:tcPr>
            <w:tcW w:w="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13,945,943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15,372,480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7,612,041</w:t>
            </w:r>
          </w:p>
        </w:tc>
        <w:tc>
          <w:tcPr>
            <w:tcW w:w="60" w:type="dxa"/>
            <w:vAlign w:val="bottom"/>
            <w:shd w:val="clear" w:color="auto" w:fill="CCEEFF"/>
          </w:tcPr>
          <w:p>
            <w:pPr>
              <w:spacing w:after="0"/>
              <w:rPr>
                <w:sz w:val="18"/>
                <w:szCs w:val="18"/>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 (3)</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6,035,547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3,675,030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Selling and marketing expenses (3)</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1,963,530</w:t>
            </w:r>
          </w:p>
        </w:tc>
        <w:tc>
          <w:tcPr>
            <w:tcW w:w="900" w:type="dxa"/>
            <w:vAlign w:val="bottom"/>
          </w:tcPr>
          <w:p>
            <w:pPr>
              <w:jc w:val="right"/>
              <w:spacing w:after="0"/>
              <w:rPr>
                <w:sz w:val="20"/>
                <w:szCs w:val="20"/>
                <w:color w:val="auto"/>
              </w:rPr>
            </w:pPr>
            <w:r>
              <w:rPr>
                <w:rFonts w:ascii="Arial" w:cs="Arial" w:eastAsia="Arial" w:hAnsi="Arial"/>
                <w:sz w:val="18"/>
                <w:szCs w:val="18"/>
                <w:color w:val="auto"/>
              </w:rPr>
              <w:t>762,191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2,440,902</w:t>
            </w:r>
          </w:p>
        </w:tc>
        <w:tc>
          <w:tcPr>
            <w:tcW w:w="4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1,764,731</w:t>
            </w:r>
          </w:p>
        </w:tc>
        <w:tc>
          <w:tcPr>
            <w:tcW w:w="60" w:type="dxa"/>
            <w:vAlign w:val="bottom"/>
            <w:shd w:val="clear" w:color="auto" w:fill="CCEEFF"/>
          </w:tcPr>
          <w:p>
            <w:pPr>
              <w:spacing w:after="0"/>
              <w:rPr>
                <w:sz w:val="18"/>
                <w:szCs w:val="18"/>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10,439,979</w:t>
            </w:r>
          </w:p>
        </w:tc>
        <w:tc>
          <w:tcPr>
            <w:tcW w:w="4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6,201,952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4,932,501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570,107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1,007,802</w:t>
            </w:r>
          </w:p>
        </w:tc>
        <w:tc>
          <w:tcPr>
            <w:tcW w:w="900" w:type="dxa"/>
            <w:vAlign w:val="bottom"/>
          </w:tcPr>
          <w:p>
            <w:pPr>
              <w:jc w:val="right"/>
              <w:spacing w:after="0"/>
              <w:rPr>
                <w:sz w:val="20"/>
                <w:szCs w:val="20"/>
                <w:color w:val="auto"/>
              </w:rPr>
            </w:pPr>
            <w:r>
              <w:rPr>
                <w:rFonts w:ascii="Arial" w:cs="Arial" w:eastAsia="Arial" w:hAnsi="Arial"/>
                <w:sz w:val="18"/>
                <w:szCs w:val="18"/>
                <w:color w:val="auto"/>
              </w:rPr>
              <w:t>237,623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(102,019)</w:t>
            </w: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6,492,889</w:t>
            </w:r>
          </w:p>
        </w:tc>
        <w:tc>
          <w:tcPr>
            <w:tcW w:w="4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1,946,514</w:t>
            </w:r>
          </w:p>
        </w:tc>
        <w:tc>
          <w:tcPr>
            <w:tcW w:w="6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8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459"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1,084,263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(166,768)</w:t>
            </w:r>
          </w:p>
        </w:tc>
      </w:tr>
      <w:tr>
        <w:trPr>
          <w:trHeight w:val="221"/>
        </w:trPr>
        <w:tc>
          <w:tcPr>
            <w:tcW w:w="8620" w:type="dxa"/>
            <w:vAlign w:val="bottom"/>
            <w:gridSpan w:val="3"/>
          </w:tcPr>
          <w:p>
            <w:pPr>
              <w:ind w:left="46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5,408,626</w:t>
            </w:r>
          </w:p>
        </w:tc>
        <w:tc>
          <w:tcPr>
            <w:tcW w:w="4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2,113,282</w:t>
            </w:r>
          </w:p>
        </w:tc>
        <w:tc>
          <w:tcPr>
            <w:tcW w:w="60" w:type="dxa"/>
            <w:vAlign w:val="bottom"/>
          </w:tcPr>
          <w:p>
            <w:pPr>
              <w:spacing w:after="0"/>
              <w:rPr>
                <w:sz w:val="19"/>
                <w:szCs w:val="19"/>
                <w:color w:val="auto"/>
              </w:rPr>
            </w:pPr>
          </w:p>
        </w:tc>
      </w:tr>
      <w:tr>
        <w:trPr>
          <w:trHeight w:val="218"/>
        </w:trPr>
        <w:tc>
          <w:tcPr>
            <w:tcW w:w="46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(168,728)</w:t>
            </w:r>
          </w:p>
        </w:tc>
      </w:tr>
      <w:tr>
        <w:trPr>
          <w:trHeight w:val="222"/>
        </w:trPr>
        <w:tc>
          <w:tcPr>
            <w:tcW w:w="8620" w:type="dxa"/>
            <w:vAlign w:val="bottom"/>
            <w:gridSpan w:val="3"/>
          </w:tcPr>
          <w:p>
            <w:pPr>
              <w:ind w:left="460"/>
              <w:spacing w:after="0"/>
              <w:rPr>
                <w:sz w:val="20"/>
                <w:szCs w:val="20"/>
                <w:color w:val="auto"/>
              </w:rPr>
            </w:pPr>
            <w:r>
              <w:rPr>
                <w:rFonts w:ascii="Arial" w:cs="Arial" w:eastAsia="Arial" w:hAnsi="Arial"/>
                <w:sz w:val="18"/>
                <w:szCs w:val="18"/>
                <w:color w:val="auto"/>
              </w:rPr>
              <w:t>Net income to common stockholders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$ 5,408,626</w:t>
            </w: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$ 1,944,554</w:t>
            </w: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240" w:top="140" w:right="5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revenues includes $0.2 million and $0 for the three months ended March 31, 2007 and March 31, 2006, respectively, as amortization of stock compensation expense relating to issuance of stock options to employees directly involved in providing services to our clients. Cost of revenues excludes depreciation and amortization related to fixed assets as described in note 13.</w:t>
      </w:r>
    </w:p>
    <w:p>
      <w:pPr>
        <w:spacing w:after="0" w:line="59" w:lineRule="exact"/>
        <w:rPr>
          <w:rFonts w:ascii="Arial" w:cs="Arial" w:eastAsia="Arial" w:hAnsi="Arial"/>
          <w:sz w:val="18"/>
          <w:szCs w:val="18"/>
          <w:color w:val="auto"/>
        </w:rPr>
      </w:pPr>
    </w:p>
    <w:p>
      <w:pPr>
        <w:ind w:left="460" w:right="30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SG&amp;A expenses include $0.6 million and $0.2 million for the three months ended March 31, 2007 and March 31, 2006, respectively, as amortization of stock compensation expense relating to issuance of stock options to our non-operations staff as described in note 13.</w:t>
      </w:r>
    </w:p>
    <w:p>
      <w:pPr>
        <w:spacing w:after="0" w:line="4" w:lineRule="exact"/>
        <w:rPr>
          <w:rFonts w:ascii="Arial" w:cs="Arial" w:eastAsia="Arial" w:hAnsi="Arial"/>
          <w:sz w:val="16"/>
          <w:szCs w:val="16"/>
          <w:color w:val="auto"/>
        </w:rPr>
      </w:pPr>
    </w:p>
    <w:p>
      <w:pPr>
        <w:ind w:left="460" w:right="8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includes $0.6 million and $0 for the three months ended March 31, 2007 and March 31, 2006, respectively, as of amortization of intangibles as described in note 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2007 Compared to Three Months Ended March 31, 2006</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result of the Inductis acquisition, our results of operations for three months ended March 31, 2007 are not comparable to the three months ended March 31, 2006. Our results of operations for the three months ended March 31, 2007 are favorably impacted by the Inductis acquisition, an increase in revenues, changes in exchange rates and better capacity utilization over the prior year. As we increase the amount of physical infrastructure available to perform our operations, we expect that utilization will decrease, which will have a negative impact on our operating margin. Also, exchange rates fluctuations will have a positive or a negative impact on our net income depending on the direction of the fluctuation.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84.7% from $21.6 million for the three months ended March 31, 2006 (including $1.0 million of reimbursable expenses)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$39.9 million for the three months ended March 31, 2007 (including $1.8 million of reimbursable expenses). We recognized revenues from 51 clients (including 17 clients acquired in the Inductis acquisition), including clients for our research and analytics services and our advisory services, during the three months ended March 31, 2007 compared to 29 clients during the three months ended March 31, 2006. Revenues attributable to 17 new clients obtained as a result of the Inductis acquisition were $4.2 million during the three months ended March 31, 2007. Revenue increases from existing clients were attributable to faster than expected volume increases within existing processes and the addition of 10 processes. The increase in revenue was also attributable to favorable changes in exchange rates during the period.</w:t>
      </w:r>
    </w:p>
    <w:p>
      <w:pPr>
        <w:spacing w:after="0" w:line="118"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b w:val="1"/>
          <w:bCs w:val="1"/>
          <w:i w:val="1"/>
          <w:iCs w:val="1"/>
          <w:color w:val="auto"/>
        </w:rPr>
        <w:t>Cost of Revenues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 of revenues increased 75.0% from $14.0 million for the three months ended March 31, 2006 to $24.5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2007. Cost of revenues for the three months ended March 31, 2007 includes $3.8 million related to the Inductis business, which was not included in cost of revenues for the three months ended March 31, 2006. Salaries and personnel expenses increased from $9.1 million in the three months ended March 31, 2006 to $17.0 million in the three months ended March 31, 2007 as a result of an increase in headcount from 5,799 employees at March 31, 2006 to approximately 8,966 employees (including 256 employees from Inductis) at March 31, 2007. Cost of revenues also increased due to an increase in reimbursable expenses, primarily as a result of significant additional costs associated with training activities on client premises. Facilities operating costs increased from $1.7 million for the three months ended March 31, 2006 to $2.1 million for the three months ended March 31, 2007, primarily reflecting our increased workforce and increased capacity utilization. Cost of revenues includes $0.2 million and $0 for the three months ended March 31, 2007 and March 31, 2006, respectively, for amortization of stock compensation expense relating to our issuance of stock options to employees directly involved in providing services to our clients. As a percentage of revenues, cost of revenues decreased from 64.8% for the three months ended March 31, 2006 to 61.4% for the three months ended March 31, 2007.</w:t>
      </w:r>
    </w:p>
    <w:p>
      <w:pPr>
        <w:spacing w:after="0" w:line="10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102.6% from $7.6 million for the three months ended March 31, 2006 to $15.4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2007, including $0.4 million for the three months ended March 31, 2007 from Inductis. The increase in gross profit is the result of increased revenue, improved capacity utilization in 2007 over 2006 and the impact of exchange rates on our profitability. The increase in gross profit does not represent a trend in our results of operations. As a result, gross profit as a percentage of revenues increased from 35.2% for the three months ended March 31, 2006 to 38.6% for the three months ended March 31, 2007.</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81.8% from $4.4 million for the three months ended March 31, 2006 to $8.0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2007. General and administrative expenses increased 62.2% from $3.7 million for the three months ended March 31, 2006 to $6.0 million for the three months ended March 31, 2007 and selling and marketing expenses increased 150% from $0.8 million for the three months ended March 31, 2006 to $2.0 million for the three months ended March 31, 2007. These increases were primarily due to the addition of corporate and sales and marketing staff in the United States, as well as an increase in audit and other professional fees incurred as a result of becoming a public company. The increase in SG&amp;A expenses is also attributed to the addition of $1.8 million in expenses incurred by Inductis. Salary and personnel expenses increased from $2.6 million for the three months ended March 31, 2006 to $3.9 million for the three months ended March 31, 2007. Salaries and personnel expense included $0.7 million in expenses as a result of the Inductis acquisition. SG&amp;A expenses include $0.6 million and $0.2 million for the three months ended March 31, 2007 and the three months ended March 31, 2006,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slightly from 20.4% for the three months ended March 31, 2006 to 20.1% for the three months ended March 31, 2007.</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increased 33.3% from $1.8 million for the three months ended March 31, 2006 to $2.4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2007. The increase was primarily due to the amortization of intangibles acquired from Inductis. We have constructed a new operations facility in Noida, having a total capacity of 1,200 workstations out of which approximately 400 workstations became operational in April 2007. As we add facilities, we also expect that depreciation expense will increase, reflecting additional investment in equipment and facilities necessary to meet service requirements.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250% from $1.4 million for the three months ended March 31, 2006 to $4.9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2007. Operating margin increased period-to-period due to a significant increase in revenue from advisory services partly caused by seasonal factors, a higher than expected demand, favorable exchange rates and better capacity utilization rate. This was partly offset by a loss of $1.4 million at Inductis due to lower demand caused primarily by lower discretionary spending among its largest customers. As a percentage of revenues, income from operations increased from 6.5% for the three months ended March 31, 2006 to 12.3% for the three months ended March 31, 2007. The significant increase in income from operations does not represent a trend in our results of operations and we expect a decrease in our operating margin in 2007 as compared to previous quarters as we make key investments in our infrastructure and support functions.</w:t>
      </w:r>
    </w:p>
    <w:p>
      <w:pPr>
        <w:sectPr>
          <w:pgSz w:w="11900" w:h="16838" w:orient="portrait"/>
          <w:cols w:equalWidth="0" w:num="1">
            <w:col w:w="11400"/>
          </w:cols>
          <w:pgMar w:left="240" w:top="459" w:right="259" w:bottom="967"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967"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Other Income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(expense) is comprised of foreign exchange gains and losses, interest income and expense and interest expense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redeemable preferred stock. Other income increased from $0.5 million for the three months ended March 31, 2006 to $1.6 million for the three months ended March 31, 2007 as a result of interest income on the net proceeds from our initial public offering, increase in foreign exchange gains and reduction in interest expense due to the repayment of our preferred stock in October and November 2006.</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increased from a benefit of $0.2 million for the three months ended March 31, 2006 to an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$1.1 million for the three months ended March 31, 2007 and the corresponding effective rate of taxes has increased to a provision of 17% for the three month ended March 31, 2007 compared to a benefit of 9% for the three month ended March 31, 2006. The increase is primarily because of an increase in U.S. income, which is subject to tax, resulting in an increase in current taxes to $1.7 million for the three months ended March 31, 2007 from 0.7 million for the three months ended March 31, 2006. This was partly offset by the recognition of a deferred tax asset of $0.6 million for the three months ended March 31, 2007 compared to a benefit of $0.9 million for the three months ended March 31, 2006. See Note 12, “Income Taxes,” in the notes to our unaudited consolidated financial statements for the three months ended March 31, 2007.</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Dividends and Accretion on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accretion on preferred stock were $0 for the three months ended March 31, 2007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$0.2 million for the three months ended March 31, 2006, reflecting the repayment of our preferred stock in October and November 2006.</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184.2% from $1.9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to $5.4 million for the three months ended March 31, 2007. Net income margin increased period-to-period due to the increased revenue, favorable exchange rates and better capacity utilization. The significant increase in net income to common stockholders does not represent a trend in our results of operations and will vary as we build capacity for future ramps ups and exchange rates fluctuate. As a percentage of revenues, net income increased from 8.8% for the three months ended March 31, 2006 to 13.5% for the three months ended March 31,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2007, we had $73.9 million in cash and cash equivalents on hand.</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2006, we consummated an initial public offering of our common stock. In the offering, we issued and sold 5,750,000 shares of our common stock at an initial offering price of $13.50 per share, resulting in gross proceeds of $77.6 million and net proceeds of approximately $69.8 million after deducting underwriting discounts and commissions of approximately $5.4 million and related offering expenses of approximately $2.4 million. We used approximately $6.7 million of the net proceeds from the initial public offering to repurchase all of the outstanding shares of preferred stock and approximately $5.8 million to repay all outstanding senior promissory notes payable to certain stockholders.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Generally, factors that affect our earnings—for example, pricing, volume of services, costs and productivity—affect our cash flows provided by operations in a similar fashion. However, while management of working capital, including timing of collections and payments, affects operating results only indirectly, the impact on working capital and cash flows provided by operating activities can be significant. In the three months ended March 31, 2007, cash flows from operating activities decreased to an outflow of $8.3 million compared to an inflow of $0.3 million for the three months ended March 31, 2006. This decrease is predominantly due to an increase in accounts receivable due to revenue growth and the timing of payments from our customers, increase in other assets and a decrease in accounts payable and accrued expenses including accrued compensation costs due to timing of payments to our vendors and higher bonus payout to our employees. However we were able to recover approximately $14 million in April 2007 from our clients against outstanding accounts receivable as of March 31, 2007. Net income increased in the three months ended March 31, 2007 by $3.3 million compared to the three months ended March 31, 2006 due to continued growth in our business.</w:t>
      </w:r>
    </w:p>
    <w:p>
      <w:pPr>
        <w:spacing w:after="0" w:line="120"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Cash used in investing activities increased to $3.0 million in the three months ended March 31, 2007 from $1.6 million in the three months ended March 31, 2006. The increase is a result of the purchase of fixed assets for the new facility in Noida, which has a total capacity of approximately 1,200 seats.</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was no material change in cash used in financing activities during the three months ended March 31, 2007 as compared to the three months ended March 31, 2006.</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buildout facilities, telecommunications equipment, and computer hardware and software we purchase in connection with managing client operations. We incurred $10.4 million of capital expenditures in 2006. We expect to incur approximately $11 million to $14.5 million of capital expenditures in 2007. We expect capital expenditures in 2007 will be used primarily to meet the growth requirements of our clients, including expanding our facilities, as well as to improve our internal technology. We have constructed a new operations facility in Noida, India, having a total capacity of 1,200 workstations, out of which approximately 400 seats became operational in April 2007, at a total cost of approximately $8.0 million.</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we are contractually committed to one of our clients to establish and maintain a viable offshore BPO operation outside of India by September 2008,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have no other individually large outstanding commitments for capital expenditures. The timing and volume of such capital expenditures in the future will be affected by new contracts we may enter into or the expansion of our existing contracts. Therefore, we cannot reasonably predict our capital expenditures beyond 2007.</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in connection with the tax assessment orders issued against EXL India and Exl Inc we may be required to make additional deposits in the near future pursuant to these assessments or future related assessments.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Inductis acquisition, we paid a $0.4 million a bonus to former Inductis shareholders in January 2007.</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Depending on Inductis profit adjusted earnout revenue for 2007 and 2006 no more than an aggregate of 778,764 shares of our common stock be issued to the former holders of Inductis common stock and restricted stock under the earnout provisions.</w:t>
      </w:r>
    </w:p>
    <w:p>
      <w:pPr>
        <w:sectPr>
          <w:pgSz w:w="11900" w:h="16838" w:orient="portrait"/>
          <w:cols w:equalWidth="0" w:num="1">
            <w:col w:w="11400"/>
          </w:cols>
          <w:pgMar w:left="240" w:top="459" w:right="259" w:bottom="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also need to make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all such contingent payments is expected to range from $0.6 million to $6.5 million.</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use the remaining net proceeds from our initial public offering for working capital and general corporate purposes. We anticipate that we will continue to rely upon cash from operating activities and remaining proceeds from our initial public offering to finance our capital expenditures and working capital needs. We believe that cash flow from operations and the remaining net proceeds from our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2007,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has been no material changes to our contractual obligations during the period covered by this Quarterly Report on Form 10-Q from the statements set forth in our 2006 Form 10K under “Managements’ Discussion and Analysis of Financial Condition and Results of Operations—Contractual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(“FIN 48”), “Accounting for Uncertainty in Income Taxes – An Interpretation of FASB Statement No. 109”.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FIN 48 contains a two-step approach to recognizing and measuring uncertain tax positions accounted for in accordance with SFAS No. 109. The first step is to evaluate the tax position for recognition by determining if the weight of available evidence indicated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implementation of FIN 48 did not have any impact on the Company’s consolidated financial statements.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All federal tax filings of ExlService Holdings for tax years since 2003 are subject to examination by federal tax authorities, and the 2004 tax year is being examined by the U.S. Internal Revenue Service. All state tax filings of ExlService Holdings for tax years from 2003 to 2005 are being examined by New York State tax authorities. All tax filings of the Company’s subsidiaries in India are subject to examination by Indian taxing authorities for tax years since 2001-02. Management believes that the outcome of these examinations will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exchange rates between the U.K. pound sterling, the U.S. dollars and the Indian rupee;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ectPr>
          <w:pgSz w:w="11900" w:h="16838" w:orient="portrait"/>
          <w:cols w:equalWidth="0" w:num="1">
            <w:col w:w="11400"/>
          </w:cols>
          <w:pgMar w:left="240" w:top="459" w:right="259" w:bottom="67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67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risks could cause actual results to differ materially from those implied by forward-looking statements in this document.</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Quarterly Report on Form 10-Q, or elsewhere, is current as of the date on which we make it. New risks and uncertainties come up from time to time, and it is impossible for us to predict these events or how they may affect us. We have no obligation to update any forward-looking statements in this Quarterly Report on Form 10-Q after the date of this Quarterly Report on Form 10-Q, except as required by federal securities laws.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ESSPL is the Indian rupee. The functional currency of Exl UK is the U.K. pound sterling. The functional currency of Inductis (Singapore) Pte Limited is the Singapore dollar.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denominated in U.S. dollars (48.1% in the three months ended March 31, 2007) or U.K. pound sterling (51.6% in the three months ended March 31, 2007), most of our expenses (62.1% in the three months ended March 31, 2007) are incurred and paid in Indian rupees. The exchange rates among the Indian rupee, the U.K. pound sterling and the U.S. dollar have changed substantially in recent years and may fluctuate substantially in the future.</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the three months ended March 31, 2007 and excluding any hedging arrangements that we had in place during that period, a 5.0% appreciation/depreciation in the pound sterling against the U.S. dollar would have increased/decreased revenues in the three months ended March 31, 2007 by approximately $1.0 million. Similarly, a 5.0% depreciation in the Indian rupee against the U.S. dollar would have decreased our expenses incurred and paid in Indian rupees in the three months ended March 31, 2007 by approximately $1.0 million. Conversely, a 5.0% appreciation in the Indian rupee against the U.S. dollar would have increased our expenses incurred and paid in Indian rupees during the three months ended March 31, 2007 by approximately $1.1 million.</w:t>
      </w:r>
    </w:p>
    <w:p>
      <w:pPr>
        <w:spacing w:after="0" w:line="120"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Forward exchange contracts with a notional amount of $40.7 million and U.K. pound sterling 23.2 million were outstanding at March 31, 2007 and of $33 million and U.K. pound sterling 21.7 million were outstanding at December 31, 2006.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and cash equivalents totaling $73.9 million at March 31, 2007. These amounts were invested primarily in a short-term investment portfolio primarily comprised of investment grade commercial paper.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 decrease in short term rates would reduce our interest income for the three months ended March 31, 2007 by approximately $0.2 million.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w:t>
      </w:r>
    </w:p>
    <w:p>
      <w:pPr>
        <w:sectPr>
          <w:pgSz w:w="11900" w:h="16838" w:orient="portrait"/>
          <w:cols w:equalWidth="0" w:num="1">
            <w:col w:w="11420"/>
          </w:cols>
          <w:pgMar w:left="240" w:top="459" w:right="239" w:bottom="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31"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March 31, 2007. Based upon that evaluation, the CEO and CFO have concluded that, as of March 31, 2007, our disclosure controls and procedures were not effective to provide reasonable assurance that the information required to be disclosed by us in reports filed under the Securities Exchange Act of 1934 were (i) recorded, processed, summarized and reported within the time periods specified in the SEC’s rules and forms and (ii) accumulated and communicated to our management, to allow timely decisions regarding disclosure.</w:t>
      </w:r>
    </w:p>
    <w:p>
      <w:pPr>
        <w:spacing w:after="0" w:line="120"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We have identified specific instances where our disclosure controls and procedures in the accounting and financial reporting areas were not effective. In these instances, the results of our evaluation indicate that our disclosure controls and procedures were adversely impacted by a number of events that occurred in the third and fourth quarters of 2006, some of which are one-time events that are being addressed and are in the process of being remediated, including</w:t>
      </w:r>
    </w:p>
    <w:p>
      <w:pPr>
        <w:spacing w:after="0" w:line="1" w:lineRule="exact"/>
        <w:rPr>
          <w:sz w:val="20"/>
          <w:szCs w:val="20"/>
          <w:color w:val="auto"/>
        </w:rPr>
      </w:pPr>
    </w:p>
    <w:p>
      <w:pPr>
        <w:ind w:right="240" w:firstLine="8"/>
        <w:spacing w:after="0" w:line="302" w:lineRule="auto"/>
        <w:tabs>
          <w:tab w:leader="none" w:pos="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employee turnover in our accounting and financial reporting departments, (ii) insufficient staffing levels and capabilities in the accounting and financial reporting departments during the first quarter of 2007, (iii) the complexity of our new financial reporting requirements, and (iv) the complexity of the continued integration of the financial reporting processes of Inductis with those of our historic service units.</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undertaken the following action plan to address and remediate the issues identified in our disclosure controls and procedures: (i) we hired a Chief Financial Officer-designate on February 28, 2007, who became our Chief Financial Officer after the filing of the Company’s 2006 Form 10-K on March 30, 2007,</w:t>
      </w:r>
    </w:p>
    <w:p>
      <w:pPr>
        <w:ind w:right="300" w:firstLine="8"/>
        <w:spacing w:after="0" w:line="253"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has committed to the hiring of additional positions in the accounting and financial reporting departments and recruiting for these positions as well as other open positions in these departments is ongoing, (iii) our new Chief Financial Officer is continuing a review of all financial reporting processes, practices and policies for the purpose of implementing changes to strengthen the effectiveness of the financial reporting process, and (iv) management has initiated organizational changes and is reviewing compensation structures in order to better attract and retain the necessary capabilities in the accounting and financial reporting departments.</w:t>
      </w:r>
    </w:p>
    <w:p>
      <w:pPr>
        <w:spacing w:after="0" w:line="14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that these measures and new hires will enable us to address and remediate the specific instances where our disclosure controls and procedures were not effective.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2007 that has materially affected, or is reasonably likely to materially affect, our internal control over financial reporting.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disclosed under the heading “Business–Legal Proceedings” in our 2006 Form 10-K filed with the SEC on March 30, 2007, certain proceedings which may materially affect our business, financial condition or results of operations. You should carefully consider the disclosures set forth in 2006 Form 10-K and the other information set forth elsewhere in this Quarterly Report on Form 10-Q.</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previously disclosed in our 2006 Form 10-K, we are currently involved in disputes with Indian tax authorities over the application of some of our transfer pricing policies. The Indian tax authorities have recently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An assessment issued with respect to EXL Inc. alleges that it has a permanent establishment in India and demands the payment of certain additional taxes based on such allegation.</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first assessment order issued by the Indian taxing authorities regarding transfer pricing relates to their audit of EXL India’s 2003-04 tax year. Indian transfer pricing regulations require that any international transaction involving related corporations be at an arms’ length price. The assessment order alleges that the transfer price we applied to transactions between EXL India and EXL Inc. in the 2003-04 tax year was not appropriate and disallows certain expenses claimed as tax deductible by EXL India. Transactions among our subsidiaries and us may be considered such transactions. This assessment demands that EXL India pay additional taxes in the amount of $2.2 million. We have paid approximately $0.7 million to the Indian tax authorities as a deposit in respect of this assessment and may have to deposit additional amounts in the future while we are contesting the above order before the appellate authorities.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$3.8 million. We have already paid approximately $1.6 million to the Indian tax authorities as a deposit in respect of this assessment.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$3.4 million. Out of the $3.4 million demanded, we have already paid $1.6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not only for the 2003-04 tax year but for subsequent years as well.</w:t>
      </w:r>
    </w:p>
    <w:p>
      <w:pPr>
        <w:spacing w:after="0" w:line="11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unaudited consolidated financial statements. Any amount paid by us as deposits will be refunded to us with interest if we succeed in our appeals. We cannot assure you that our appeals will be successful or that these appeals will be finally resolved in the near future.</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is a possibility that we might receive similar orders for subsequent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ectPr>
          <w:pgSz w:w="11900" w:h="16838" w:orient="portrait"/>
          <w:cols w:equalWidth="0" w:num="1">
            <w:col w:w="11400"/>
          </w:cols>
          <w:pgMar w:left="240" w:top="459" w:right="259" w:bottom="549"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549"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disclosed under the heading “Risk Factors” in our 2006 Form 10-K filed with the SEC on March 30, 2007, the risk factors which materially affect our business, financial condition or results of operations. You should carefully consider the “Risk Factors” set forth in the 2006 Form 10-K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As per the terms of the Inductis acquisition agreement, for the 2006 earnout, we issued 257,273 shares of common stock to former holders of Inductis common stock. The shares of our common stock were issued pursuant to an exemption from the registration requirements of the Securities Act of 1933.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completed our initial public offering of our common stock under a Registration Statement on Form S-1 (File No. 333-121001), which became effective on October 19, 2006 and a Registration Statement on Form S-1 (File No. 333-138104), which became effective on October 20, 2006. The aggregate offering price of the common stock sold (including the exercise by the managing underwriters of their over-allotment option) resulted in net proceeds of approximately $69.8 million to us. We used approximately $6.7 million of the net proceeds from our initial public offering to repurchase all of our outstanding shares of Series A Preferred Stock and $5.8 million to repay all our outstanding senior promissory notes payable to certain of our stockholders in 2006. The remainder of the net proceeds, approximately $57.3 million, is being used for fixed asset acquisitions and general corporate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President of ExlService Holdings, pursuant to Rule 13a-14 of the Exchange Act, as adopted pursuant to Section 302 of the Sarbanes-Oxley Act of 2002.</w:t>
      </w:r>
    </w:p>
    <w:p>
      <w:pPr>
        <w:spacing w:after="0" w:line="78" w:lineRule="exact"/>
        <w:rPr>
          <w:sz w:val="20"/>
          <w:szCs w:val="20"/>
          <w:color w:val="auto"/>
        </w:rPr>
      </w:pPr>
    </w:p>
    <w:p>
      <w:pPr>
        <w:ind w:left="700" w:right="56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60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260" w:hanging="688"/>
        <w:spacing w:after="0" w:line="268" w:lineRule="auto"/>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Certification of the President pursuant to Rule 13a-14(b) of the Exchange Act and 18 U.S.C. Section 1350, as adopted pursuant to Section 906 of the Sarbanes-Oxley Act of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2"/>
          </w:tcPr>
          <w:p>
            <w:pPr>
              <w:ind w:left="2540"/>
              <w:spacing w:after="0"/>
              <w:rPr>
                <w:sz w:val="20"/>
                <w:szCs w:val="20"/>
                <w:color w:val="auto"/>
              </w:rPr>
            </w:pPr>
            <w:r>
              <w:rPr>
                <w:rFonts w:ascii="Arial" w:cs="Arial" w:eastAsia="Arial" w:hAnsi="Arial"/>
                <w:sz w:val="18"/>
                <w:szCs w:val="18"/>
                <w:color w:val="auto"/>
              </w:rPr>
              <w:t>EXLSERVICE HOLDINGS, INC.</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May 15, 2007</w:t>
            </w:r>
          </w:p>
        </w:tc>
        <w:tc>
          <w:tcPr>
            <w:tcW w:w="7860" w:type="dxa"/>
            <w:vAlign w:val="bottom"/>
            <w:gridSpan w:val="2"/>
          </w:tcPr>
          <w:p>
            <w:pPr>
              <w:ind w:left="2540"/>
              <w:spacing w:after="0"/>
              <w:rPr>
                <w:sz w:val="20"/>
                <w:szCs w:val="20"/>
                <w:color w:val="auto"/>
              </w:rPr>
            </w:pPr>
            <w:r>
              <w:rPr>
                <w:rFonts w:ascii="Arial" w:cs="Arial" w:eastAsia="Arial" w:hAnsi="Arial"/>
                <w:sz w:val="18"/>
                <w:szCs w:val="18"/>
                <w:color w:val="auto"/>
              </w:rPr>
              <w:t>By: /s/ Matthew Appel</w:t>
            </w:r>
          </w:p>
        </w:tc>
      </w:tr>
      <w:tr>
        <w:trPr>
          <w:trHeight w:val="202"/>
        </w:trPr>
        <w:tc>
          <w:tcPr>
            <w:tcW w:w="3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Matthew Appel</w:t>
            </w:r>
          </w:p>
        </w:tc>
      </w:tr>
      <w:tr>
        <w:trPr>
          <w:trHeight w:val="222"/>
        </w:trPr>
        <w:tc>
          <w:tcPr>
            <w:tcW w:w="35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18"/>
        </w:trPr>
        <w:tc>
          <w:tcPr>
            <w:tcW w:w="3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w w:val="98"/>
              </w:rPr>
              <w:t>(Duly Authorized Signatory, Principal Financial and Accounting</w:t>
            </w:r>
          </w:p>
        </w:tc>
      </w:tr>
      <w:tr>
        <w:trPr>
          <w:trHeight w:val="222"/>
        </w:trPr>
        <w:tc>
          <w:tcPr>
            <w:tcW w:w="35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Officer)</w:t>
            </w:r>
          </w:p>
        </w:tc>
      </w:tr>
      <w:tr>
        <w:trPr>
          <w:trHeight w:val="365"/>
        </w:trPr>
        <w:tc>
          <w:tcPr>
            <w:tcW w:w="3560" w:type="dxa"/>
            <w:vAlign w:val="bottom"/>
          </w:tcPr>
          <w:p>
            <w:pPr>
              <w:spacing w:after="0"/>
              <w:rPr>
                <w:sz w:val="24"/>
                <w:szCs w:val="24"/>
                <w:color w:val="auto"/>
              </w:rPr>
            </w:pPr>
          </w:p>
        </w:tc>
        <w:tc>
          <w:tcPr>
            <w:tcW w:w="2800" w:type="dxa"/>
            <w:vAlign w:val="bottom"/>
          </w:tcPr>
          <w:p>
            <w:pPr>
              <w:jc w:val="right"/>
              <w:ind w:right="472"/>
              <w:spacing w:after="0"/>
              <w:rPr>
                <w:sz w:val="20"/>
                <w:szCs w:val="20"/>
                <w:color w:val="auto"/>
              </w:rPr>
            </w:pPr>
            <w:r>
              <w:rPr>
                <w:rFonts w:ascii="Arial" w:cs="Arial" w:eastAsia="Arial" w:hAnsi="Arial"/>
                <w:sz w:val="18"/>
                <w:szCs w:val="18"/>
                <w:color w:val="auto"/>
              </w:rPr>
              <w:t>25</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firstLine="4"/>
        <w:spacing w:after="0" w:line="332" w:lineRule="auto"/>
        <w:tabs>
          <w:tab w:leader="none" w:pos="70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332" w:lineRule="auto"/>
        <w:tabs>
          <w:tab w:leader="none" w:pos="69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firstLine="4"/>
        <w:spacing w:after="0" w:line="332" w:lineRule="auto"/>
        <w:tabs>
          <w:tab w:leader="none" w:pos="7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332" w:lineRule="auto"/>
        <w:tabs>
          <w:tab w:leader="none" w:pos="69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firstLine="4"/>
        <w:spacing w:after="0" w:line="332" w:lineRule="auto"/>
        <w:tabs>
          <w:tab w:leader="none" w:pos="7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332" w:lineRule="auto"/>
        <w:tabs>
          <w:tab w:leader="none" w:pos="6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2007 as filed with the Securities and Exchange Commission on the date hereof (the “Report”), I, Vikram Talwar,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2007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2007 as filed with the Securities and Exchange Commission on the date hereof (the “Report”), I, Rohit Kapoor, President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6"/>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2019-12-15T10:37:13Z</dcterms:created>
  <dcterms:modified xsi:type="dcterms:W3CDTF">2019-12-15T10:37:13Z</dcterms:modified>
</cp:coreProperties>
</file>