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Chhibbar Vishal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10/12/2017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EVP &amp; CFO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jc w:val="right"/>
              <w:ind w:right="134"/>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60" w:type="dxa"/>
            <w:vAlign w:val="bottom"/>
            <w:tcBorders>
              <w:bottom w:val="single" w:sz="8" w:color="2C2C2C"/>
            </w:tcBorders>
            <w:gridSpan w:val="2"/>
          </w:tcPr>
          <w:p>
            <w:pPr>
              <w:jc w:val="right"/>
              <w:ind w:right="120"/>
              <w:spacing w:after="0"/>
              <w:rPr>
                <w:sz w:val="20"/>
                <w:szCs w:val="20"/>
                <w:color w:val="auto"/>
              </w:rPr>
            </w:pPr>
            <w:r>
              <w:rPr>
                <w:rFonts w:ascii="Arial" w:cs="Arial" w:eastAsia="Arial" w:hAnsi="Arial"/>
                <w:sz w:val="18"/>
                <w:szCs w:val="18"/>
                <w:color w:val="0000FF"/>
              </w:rPr>
              <w:t>10/12/2017</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21"/>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4"/>
              </w:rPr>
              <w:t>3,000</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9.59</w:t>
            </w:r>
          </w:p>
        </w:tc>
        <w:tc>
          <w:tcPr>
            <w:tcW w:w="1360" w:type="dxa"/>
            <w:vAlign w:val="bottom"/>
            <w:tcBorders>
              <w:bottom w:val="single" w:sz="8" w:color="2C2C2C"/>
            </w:tcBorders>
            <w:gridSpan w:val="3"/>
          </w:tcPr>
          <w:p>
            <w:pPr>
              <w:jc w:val="right"/>
              <w:ind w:right="376"/>
              <w:spacing w:after="0"/>
              <w:rPr>
                <w:sz w:val="20"/>
                <w:szCs w:val="20"/>
                <w:color w:val="auto"/>
              </w:rPr>
            </w:pPr>
            <w:r>
              <w:rPr>
                <w:rFonts w:ascii="Arial" w:cs="Arial" w:eastAsia="Arial" w:hAnsi="Arial"/>
                <w:sz w:val="18"/>
                <w:szCs w:val="18"/>
                <w:color w:val="0000FF"/>
              </w:rPr>
              <w:t>3,000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60" w:type="dxa"/>
            <w:vAlign w:val="bottom"/>
            <w:tcBorders>
              <w:bottom w:val="single" w:sz="8" w:color="2C2C2C"/>
            </w:tcBorders>
            <w:gridSpan w:val="2"/>
          </w:tcPr>
          <w:p>
            <w:pPr>
              <w:jc w:val="right"/>
              <w:ind w:right="120"/>
              <w:spacing w:after="0"/>
              <w:rPr>
                <w:sz w:val="20"/>
                <w:szCs w:val="20"/>
                <w:color w:val="auto"/>
              </w:rPr>
            </w:pPr>
            <w:r>
              <w:rPr>
                <w:rFonts w:ascii="Arial" w:cs="Arial" w:eastAsia="Arial" w:hAnsi="Arial"/>
                <w:sz w:val="18"/>
                <w:szCs w:val="18"/>
                <w:color w:val="0000FF"/>
              </w:rPr>
              <w:t>10/12/2017</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2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4"/>
              </w:rPr>
              <w:t>3,000</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60.3</w:t>
            </w:r>
            <w:r>
              <w:rPr>
                <w:rFonts w:ascii="Arial" w:cs="Arial" w:eastAsia="Arial" w:hAnsi="Arial"/>
                <w:sz w:val="22"/>
                <w:szCs w:val="22"/>
                <w:color w:val="008000"/>
                <w:vertAlign w:val="superscript"/>
              </w:rPr>
              <w:t>(3)</w:t>
            </w:r>
          </w:p>
        </w:tc>
        <w:tc>
          <w:tcPr>
            <w:tcW w:w="5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536"/>
              <w:spacing w:after="0"/>
              <w:rPr>
                <w:sz w:val="20"/>
                <w:szCs w:val="20"/>
                <w:color w:val="auto"/>
              </w:rPr>
            </w:pPr>
            <w:r>
              <w:rPr>
                <w:rFonts w:ascii="Arial" w:cs="Arial" w:eastAsia="Arial" w:hAnsi="Arial"/>
                <w:sz w:val="18"/>
                <w:szCs w:val="18"/>
                <w:color w:val="0000FF"/>
                <w:w w:val="99"/>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5"/>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100" w:type="dxa"/>
            <w:vAlign w:val="bottom"/>
            <w:gridSpan w:val="11"/>
          </w:tcPr>
          <w:p>
            <w:pPr>
              <w:jc w:val="center"/>
              <w:ind w:right="6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ind w:left="4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vMerge w:val="restart"/>
          </w:tcPr>
          <w:p>
            <w:pPr>
              <w:ind w:left="80"/>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gridSpan w:val="2"/>
            <w:vMerge w:val="restart"/>
          </w:tcPr>
          <w:p>
            <w:pPr>
              <w:jc w:val="center"/>
              <w:ind w:right="1"/>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jc w:val="right"/>
              <w:ind w:right="134"/>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3,000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9.59</w:t>
            </w: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10/12/2017</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3,000</w:t>
            </w:r>
          </w:p>
        </w:tc>
        <w:tc>
          <w:tcPr>
            <w:tcW w:w="800" w:type="dxa"/>
            <w:vAlign w:val="bottom"/>
            <w:gridSpan w:val="2"/>
            <w:vMerge w:val="continue"/>
          </w:tcPr>
          <w:p>
            <w:pPr>
              <w:spacing w:after="0"/>
              <w:rPr>
                <w:sz w:val="12"/>
                <w:szCs w:val="12"/>
                <w:color w:val="auto"/>
              </w:rPr>
            </w:pPr>
          </w:p>
        </w:tc>
        <w:tc>
          <w:tcPr>
            <w:tcW w:w="780" w:type="dxa"/>
            <w:vAlign w:val="bottom"/>
            <w:gridSpan w:val="2"/>
          </w:tcPr>
          <w:p>
            <w:pPr>
              <w:ind w:left="60"/>
              <w:spacing w:after="0" w:line="149" w:lineRule="exact"/>
              <w:rPr>
                <w:sz w:val="20"/>
                <w:szCs w:val="20"/>
                <w:color w:val="auto"/>
              </w:rPr>
            </w:pPr>
            <w:r>
              <w:rPr>
                <w:rFonts w:ascii="Arial" w:cs="Arial" w:eastAsia="Arial" w:hAnsi="Arial"/>
                <w:sz w:val="14"/>
                <w:szCs w:val="14"/>
                <w:color w:val="0000FF"/>
                <w:w w:val="99"/>
              </w:rPr>
              <w:t>06/01/2019</w:t>
            </w:r>
          </w:p>
        </w:tc>
        <w:tc>
          <w:tcPr>
            <w:tcW w:w="660" w:type="dxa"/>
            <w:vAlign w:val="bottom"/>
          </w:tcPr>
          <w:p>
            <w:pPr>
              <w:ind w:left="4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tcPr>
          <w:p>
            <w:pPr>
              <w:ind w:left="320"/>
              <w:spacing w:after="0" w:line="149" w:lineRule="exact"/>
              <w:rPr>
                <w:sz w:val="20"/>
                <w:szCs w:val="20"/>
                <w:color w:val="auto"/>
              </w:rPr>
            </w:pPr>
            <w:r>
              <w:rPr>
                <w:rFonts w:ascii="Arial" w:cs="Arial" w:eastAsia="Arial" w:hAnsi="Arial"/>
                <w:sz w:val="14"/>
                <w:szCs w:val="14"/>
                <w:color w:val="0000FF"/>
                <w:w w:val="88"/>
              </w:rPr>
              <w:t>42,000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jc w:val="right"/>
              <w:ind w:right="134"/>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October 12, 2017, the reporting person exercised previously issued options to purchase an aggregate of 3,000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$60.30 to $60.31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40" w:right="22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1, 2009, the reporting person was granted 100,000 stock options. 10 percent of these options became vested and exercisable on June 1, 2010, an additional 20 percent became vested and exercisable on June 1, 2011, an additional 30 percent became vested and exercisable on June 1, 2012, and the balance of 40 percent became vested and exercisable on June 1, 2013.</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10/16/2017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6552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2019-12-04T01:02:27Z</dcterms:created>
  <dcterms:modified xsi:type="dcterms:W3CDTF">2019-12-04T01:02:27Z</dcterms:modified>
</cp:coreProperties>
</file>