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Bernstein Bradford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7"/>
              </w:rPr>
              <w:t>555 CALIFORNIA STREET, SUITE 2900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276"/>
              <w:spacing w:after="0"/>
              <w:rPr>
                <w:sz w:val="20"/>
                <w:szCs w:val="20"/>
                <w:color w:val="auto"/>
              </w:rPr>
            </w:pPr>
            <w:r>
              <w:rPr>
                <w:rFonts w:ascii="Arial" w:cs="Arial" w:eastAsia="Arial" w:hAnsi="Arial"/>
                <w:sz w:val="11"/>
                <w:szCs w:val="11"/>
                <w:color w:val="008000"/>
              </w:rPr>
              <w:t>(2)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4,000</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of restricted stock vest on the earlier of (i) the first anniversary of the date of the reporting person's installation as a member of the Board, (ii) the end of the reporting person's term on the Company's Board of Directors, and (iii) the occurrence of a "Change in Control", as defined in the Company's 2006 Omnibus Award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Bradford Bernstein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Bradford Bernstein</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339"/>
        <w:spacing w:after="0"/>
        <w:rPr>
          <w:sz w:val="20"/>
          <w:szCs w:val="20"/>
          <w:color w:val="auto"/>
        </w:rPr>
      </w:pPr>
      <w:r>
        <w:rPr>
          <w:rFonts w:ascii="Courier New" w:cs="Courier New" w:eastAsia="Courier New" w:hAnsi="Courier New"/>
          <w:sz w:val="18"/>
          <w:szCs w:val="18"/>
          <w:color w:val="auto"/>
        </w:rPr>
        <w:t>Bradford Bernstein</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735"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2019-12-16T15:05:35Z</dcterms:created>
  <dcterms:modified xsi:type="dcterms:W3CDTF">2019-12-16T15:05:35Z</dcterms:modified>
</cp:coreProperties>
</file>