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Sections 13 or 15(d) of the Securities Exchange Act of 1934</w:t>
      </w:r>
    </w:p>
    <w:p>
      <w:pPr>
        <w:pStyle w:val="TextBody"/>
        <w:bidi w:val="0"/>
        <w:spacing w:lineRule="auto" w:line="288" w:before="0" w:after="0"/>
        <w:jc w:val="center"/>
        <w:rPr/>
      </w:pPr>
      <w:r>
        <w:rPr>
          <w:color w:val="000000"/>
        </w:rPr>
        <w:t> </w:t>
      </w:r>
      <w:r>
        <w:rPr>
          <w:rFonts w:ascii="Times New Roman;serif" w:hAnsi="Times New Roman;serif"/>
          <w:b w:val="false"/>
          <w:color w:val="000000"/>
          <w:sz w:val="18"/>
        </w:rPr>
        <w:t>Date of Report (Date of earliest event reported):  February 24, 2026</w:t>
      </w:r>
      <w:r>
        <w:rPr>
          <w:color w:val="000000"/>
        </w:rPr>
        <w:t xml:space="preserve"> </w:t>
      </w:r>
    </w:p>
    <w:p>
      <w:pPr>
        <w:pStyle w:val="TextBody"/>
        <w:bidi w:val="0"/>
        <w:spacing w:lineRule="auto" w:line="288" w:before="0" w:after="0"/>
        <w:jc w:val="center"/>
        <w:rPr/>
      </w:pPr>
      <w:r>
        <w:rPr>
          <w:color w:val="000000"/>
        </w:rPr>
        <w:t> </w:t>
      </w:r>
      <w:r>
        <w:rPr>
          <w:rFonts w:ascii="Times New Roman;serif" w:hAnsi="Times New Roman;serif"/>
          <w:b/>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EXLSERVICE HOLDINGS,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tbl>
      <w:tblPr>
        <w:tblW w:w="5953" w:type="dxa"/>
        <w:jc w:val="left"/>
        <w:tblInd w:w="0" w:type="dxa"/>
        <w:tblLayout w:type="fixed"/>
        <w:tblCellMar>
          <w:top w:w="28" w:type="dxa"/>
          <w:left w:w="28" w:type="dxa"/>
          <w:bottom w:w="28" w:type="dxa"/>
          <w:right w:w="28" w:type="dxa"/>
        </w:tblCellMar>
      </w:tblPr>
      <w:tblGrid>
        <w:gridCol w:w="877"/>
        <w:gridCol w:w="773"/>
        <w:gridCol w:w="779"/>
        <w:gridCol w:w="687"/>
        <w:gridCol w:w="687"/>
        <w:gridCol w:w="695"/>
        <w:gridCol w:w="424"/>
        <w:gridCol w:w="424"/>
        <w:gridCol w:w="607"/>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001-33089</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82-0572194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left"/>
        <w:rPr/>
      </w:pPr>
      <w:r>
        <w:rPr/>
      </w:r>
    </w:p>
    <w:tbl>
      <w:tblPr>
        <w:tblW w:w="4136" w:type="dxa"/>
        <w:jc w:val="center"/>
        <w:tblInd w:w="0" w:type="dxa"/>
        <w:tblLayout w:type="fixed"/>
        <w:tblCellMar>
          <w:top w:w="28" w:type="dxa"/>
          <w:left w:w="28" w:type="dxa"/>
          <w:bottom w:w="28" w:type="dxa"/>
          <w:right w:w="28" w:type="dxa"/>
        </w:tblCellMar>
      </w:tblPr>
      <w:tblGrid>
        <w:gridCol w:w="124"/>
        <w:gridCol w:w="109"/>
        <w:gridCol w:w="109"/>
        <w:gridCol w:w="608"/>
        <w:gridCol w:w="608"/>
        <w:gridCol w:w="610"/>
        <w:gridCol w:w="360"/>
        <w:gridCol w:w="360"/>
        <w:gridCol w:w="363"/>
        <w:gridCol w:w="259"/>
        <w:gridCol w:w="259"/>
        <w:gridCol w:w="3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 xml:space="preserve">320 Park Avenue, </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29</w:t>
            </w:r>
            <w:r>
              <w:rPr>
                <w:rFonts w:ascii="Times New Roman;serif" w:hAnsi="Times New Roman;serif"/>
                <w:b/>
                <w:color w:val="000000"/>
                <w:sz w:val="12"/>
              </w:rPr>
              <w:t>th</w:t>
            </w:r>
            <w:r>
              <w:rPr>
                <w:color w:val="000000"/>
              </w:rPr>
              <w:t xml:space="preserve"> </w:t>
            </w:r>
            <w:r>
              <w:rPr>
                <w:rFonts w:ascii="Times New Roman;serif" w:hAnsi="Times New Roman;serif"/>
                <w:b/>
                <w:color w:val="000000"/>
                <w:sz w:val="18"/>
              </w:rPr>
              <w:t>Floor,</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New York,</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New York</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val="false"/>
          <w:color w:val="000000"/>
          <w:sz w:val="18"/>
        </w:rPr>
        <w:t>Registrant’s telephone number, including area code:</w:t>
      </w:r>
      <w:r>
        <w:rPr>
          <w:color w:val="000000"/>
        </w:rPr>
        <w:t>  </w:t>
      </w:r>
      <w:r>
        <w:rPr>
          <w:rFonts w:ascii="Times New Roman;serif" w:hAnsi="Times New Roman;serif"/>
          <w:b/>
          <w:color w:val="000000"/>
          <w:sz w:val="18"/>
        </w:rPr>
        <w:t xml:space="preserve">(212) 277-7100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777" w:type="dxa"/>
        <w:jc w:val="left"/>
        <w:tblInd w:w="0" w:type="dxa"/>
        <w:tblLayout w:type="fixed"/>
        <w:tblCellMar>
          <w:top w:w="28" w:type="dxa"/>
          <w:left w:w="28" w:type="dxa"/>
          <w:bottom w:w="28" w:type="dxa"/>
          <w:right w:w="28" w:type="dxa"/>
        </w:tblCellMar>
      </w:tblPr>
      <w:tblGrid>
        <w:gridCol w:w="124"/>
        <w:gridCol w:w="109"/>
        <w:gridCol w:w="109"/>
        <w:gridCol w:w="1882"/>
        <w:gridCol w:w="1882"/>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0"/>
        <w:gridCol w:w="2875"/>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8234" w:type="dxa"/>
        <w:jc w:val="center"/>
        <w:tblInd w:w="0" w:type="dxa"/>
        <w:tblLayout w:type="fixed"/>
        <w:tblCellMar>
          <w:top w:w="28" w:type="dxa"/>
          <w:left w:w="28" w:type="dxa"/>
          <w:bottom w:w="28" w:type="dxa"/>
          <w:right w:w="28" w:type="dxa"/>
        </w:tblCellMar>
      </w:tblPr>
      <w:tblGrid>
        <w:gridCol w:w="1159"/>
        <w:gridCol w:w="1018"/>
        <w:gridCol w:w="1018"/>
        <w:gridCol w:w="520"/>
        <w:gridCol w:w="520"/>
        <w:gridCol w:w="520"/>
        <w:gridCol w:w="1019"/>
        <w:gridCol w:w="1019"/>
        <w:gridCol w:w="1441"/>
      </w:tblGrid>
      <w:tr>
        <w:trPr/>
        <w:tc>
          <w:tcPr>
            <w:tcW w:w="11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234"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1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15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EXLS</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28" w:before="0" w:after="0"/>
        <w:jc w:val="left"/>
        <w:rPr/>
      </w:pPr>
      <w:r>
        <w:rPr>
          <w:rFonts w:ascii="Times New Roman;serif" w:hAnsi="Times New Roman;serif"/>
          <w:b/>
          <w:color w:val="000000"/>
          <w:sz w:val="20"/>
        </w:rPr>
        <w:t xml:space="preserve">Item 2.02. </w:t>
      </w:r>
      <w:r>
        <w:rPr>
          <w:rFonts w:ascii="Times New Roman;serif" w:hAnsi="Times New Roman;serif"/>
          <w:b/>
          <w:color w:val="000000"/>
          <w:sz w:val="20"/>
          <w:shd w:fill="FFFFFF" w:val="clear"/>
        </w:rPr>
        <w:t>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February 24, 2026</w:t>
      </w:r>
      <w:r>
        <w:rPr>
          <w:rFonts w:ascii="Times New Roman;serif" w:hAnsi="Times New Roman;serif"/>
          <w:b w:val="false"/>
          <w:color w:val="000000"/>
          <w:sz w:val="20"/>
          <w:shd w:fill="FFFFFF" w:val="clear"/>
        </w:rPr>
        <w:t xml:space="preserve">, ExlService Holdings, Inc. (the “Company”) reported its results of operations for the fourth quarter and full year ended December 31, 2025. A copy of the press release issued by the Company concerning the foregoing is furnished herewith as Exhibit 99.1 and is incorporated herein by reference.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provided in Item 2.02 of this report, including Exhibit 99.1, shall not be deemed to be “filed” for purposes of Section 18 of the Securities Exchange Act of 1934, as amended.</w:t>
      </w:r>
    </w:p>
    <w:p>
      <w:pPr>
        <w:pStyle w:val="TextBody"/>
        <w:bidi w:val="0"/>
        <w:spacing w:before="0" w:after="0"/>
        <w:ind w:left="0" w:right="0" w:firstLine="720"/>
        <w:jc w:val="both"/>
        <w:rPr/>
      </w:pPr>
      <w:r>
        <w:rPr/>
      </w:r>
    </w:p>
    <w:p>
      <w:pPr>
        <w:pStyle w:val="TextBody"/>
        <w:bidi w:val="0"/>
        <w:spacing w:lineRule="auto" w:line="328" w:before="0" w:after="0"/>
        <w:ind w:left="0" w:right="0" w:hanging="990"/>
        <w:jc w:val="left"/>
        <w:rPr>
          <w:color w:val="000000"/>
        </w:rPr>
      </w:pPr>
      <w:r>
        <w:rPr>
          <w:color w:val="000000"/>
        </w:rPr>
        <w:t> </w:t>
      </w: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1782"/>
        <w:gridCol w:w="1782"/>
        <w:gridCol w:w="1787"/>
        <w:gridCol w:w="538"/>
        <w:gridCol w:w="538"/>
        <w:gridCol w:w="538"/>
        <w:gridCol w:w="538"/>
        <w:gridCol w:w="538"/>
        <w:gridCol w:w="770"/>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lq42025pressrelease.htm">
              <w:r>
                <w:rPr>
                  <w:rStyle w:val="InternetLink"/>
                  <w:rFonts w:ascii="Times New Roman;serif" w:hAnsi="Times New Roman;serif"/>
                  <w:b w:val="false"/>
                  <w:color w:val="0000FF"/>
                  <w:sz w:val="20"/>
                  <w:u w:val="single"/>
                </w:rPr>
                <w:t>Press Release, dated February 24, 2026 (furnished pursuant to Item 2.02).</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003" w:type="dxa"/>
        <w:jc w:val="left"/>
        <w:tblInd w:w="0" w:type="dxa"/>
        <w:tblLayout w:type="fixed"/>
        <w:tblCellMar>
          <w:top w:w="28" w:type="dxa"/>
          <w:left w:w="28" w:type="dxa"/>
          <w:bottom w:w="28" w:type="dxa"/>
          <w:right w:w="28" w:type="dxa"/>
        </w:tblCellMar>
      </w:tblPr>
      <w:tblGrid>
        <w:gridCol w:w="580"/>
        <w:gridCol w:w="511"/>
        <w:gridCol w:w="513"/>
        <w:gridCol w:w="463"/>
        <w:gridCol w:w="463"/>
        <w:gridCol w:w="463"/>
        <w:gridCol w:w="589"/>
        <w:gridCol w:w="589"/>
        <w:gridCol w:w="83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EXLSERVICE HOLDINGS, INC.</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Maurizio Nicolelli</w:t>
            </w:r>
          </w:p>
        </w:tc>
      </w:tr>
      <w:tr>
        <w:trPr/>
        <w:tc>
          <w:tcPr>
            <w:tcW w:w="1604"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24"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Maurizio Nicolelli</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hanging="28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140" w:after="283"/>
        <w:jc w:val="left"/>
        <w:rPr/>
      </w:pPr>
      <w:r>
        <w:rPr/>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EXL REPORTS 2025 FOURTH QUARTER AND YEAR-END RESULTS; ISSUES 2026 GUIDANCE</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i/>
          <w:color w:val="000000"/>
          <w:sz w:val="22"/>
        </w:rPr>
      </w:pPr>
      <w:r>
        <w:rPr>
          <w:rFonts w:ascii="Times New Roman;serif" w:hAnsi="Times New Roman;serif"/>
          <w:b/>
          <w:i/>
          <w:color w:val="000000"/>
          <w:sz w:val="22"/>
        </w:rPr>
        <w:t>2025 Fourth Quarter Revenue of $542.6 Million, up 12.7% year-over-year</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Q4 Diluted EPS (GAAP) of $0.38, up 21.8% from $0.31 in Q4 of 2024</w:t>
      </w:r>
    </w:p>
    <w:p>
      <w:pPr>
        <w:pStyle w:val="TextBody"/>
        <w:bidi w:val="0"/>
        <w:spacing w:lineRule="auto" w:line="288" w:before="0" w:after="0"/>
        <w:jc w:val="center"/>
        <w:rPr/>
      </w:pPr>
      <w:r>
        <w:rPr>
          <w:rFonts w:ascii="Times New Roman;serif" w:hAnsi="Times New Roman;serif"/>
          <w:b/>
          <w:i/>
          <w:color w:val="000000"/>
          <w:sz w:val="22"/>
        </w:rPr>
        <w:t xml:space="preserve">Q4 Adjusted Diluted EPS (Non-GAAP) </w:t>
      </w:r>
      <w:r>
        <w:rPr>
          <w:rFonts w:ascii="Times New Roman;serif" w:hAnsi="Times New Roman;serif"/>
          <w:b/>
          <w:i/>
          <w:color w:val="000000"/>
          <w:sz w:val="14"/>
        </w:rPr>
        <w:t>(1)</w:t>
      </w:r>
      <w:r>
        <w:rPr>
          <w:color w:val="000000"/>
        </w:rPr>
        <w:t xml:space="preserve"> </w:t>
      </w:r>
      <w:r>
        <w:rPr>
          <w:rFonts w:ascii="Times New Roman;serif" w:hAnsi="Times New Roman;serif"/>
          <w:b/>
          <w:i/>
          <w:color w:val="000000"/>
          <w:sz w:val="22"/>
        </w:rPr>
        <w:t>of $0.50, up 15.0% from $0.44 in Q4 of 2024</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i/>
          <w:color w:val="000000"/>
          <w:sz w:val="22"/>
        </w:rPr>
      </w:pPr>
      <w:r>
        <w:rPr>
          <w:rFonts w:ascii="Times New Roman;serif" w:hAnsi="Times New Roman;serif"/>
          <w:b/>
          <w:i/>
          <w:color w:val="000000"/>
          <w:sz w:val="22"/>
        </w:rPr>
        <w:t>2025 Revenue of $2.09 Billion, up 13.6% year-over-year</w:t>
      </w:r>
    </w:p>
    <w:p>
      <w:pPr>
        <w:pStyle w:val="TextBody"/>
        <w:bidi w:val="0"/>
        <w:spacing w:lineRule="auto" w:line="276" w:before="0" w:after="0"/>
        <w:jc w:val="center"/>
        <w:rPr>
          <w:rFonts w:ascii="Times New Roman;serif" w:hAnsi="Times New Roman;serif"/>
          <w:b/>
          <w:i/>
          <w:color w:val="000000"/>
          <w:sz w:val="22"/>
        </w:rPr>
      </w:pPr>
      <w:r>
        <w:rPr>
          <w:rFonts w:ascii="Times New Roman;serif" w:hAnsi="Times New Roman;serif"/>
          <w:b/>
          <w:i/>
          <w:color w:val="000000"/>
          <w:sz w:val="22"/>
        </w:rPr>
        <w:t>2025 Diluted EPS (GAAP) of $1.54, up 28.0% from $1.21 in 2024</w:t>
      </w:r>
    </w:p>
    <w:p>
      <w:pPr>
        <w:pStyle w:val="TextBody"/>
        <w:bidi w:val="0"/>
        <w:spacing w:lineRule="auto" w:line="276" w:before="0" w:after="0"/>
        <w:jc w:val="center"/>
        <w:rPr/>
      </w:pPr>
      <w:r>
        <w:rPr>
          <w:rFonts w:ascii="Times New Roman;serif" w:hAnsi="Times New Roman;serif"/>
          <w:b/>
          <w:i/>
          <w:color w:val="000000"/>
          <w:sz w:val="22"/>
        </w:rPr>
        <w:t xml:space="preserve">2025 Adjusted Diluted EPS (Non-GAAP) </w:t>
      </w:r>
      <w:r>
        <w:rPr>
          <w:rFonts w:ascii="Times New Roman;serif" w:hAnsi="Times New Roman;serif"/>
          <w:b/>
          <w:i/>
          <w:color w:val="000000"/>
          <w:sz w:val="14"/>
        </w:rPr>
        <w:t>(1)</w:t>
      </w:r>
      <w:r>
        <w:rPr>
          <w:color w:val="000000"/>
        </w:rPr>
        <w:t xml:space="preserve"> </w:t>
      </w:r>
      <w:r>
        <w:rPr>
          <w:rFonts w:ascii="Times New Roman;serif" w:hAnsi="Times New Roman;serif"/>
          <w:b/>
          <w:i/>
          <w:color w:val="000000"/>
          <w:sz w:val="22"/>
        </w:rPr>
        <w:t>of $1.95, up 18.0% from $1.65 in 2024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60" w:before="0" w:after="0"/>
        <w:jc w:val="both"/>
        <w:rPr/>
      </w:pPr>
      <w:r>
        <w:rPr>
          <w:rFonts w:ascii="Times New Roman;serif" w:hAnsi="Times New Roman;serif"/>
          <w:b/>
          <w:color w:val="000000"/>
          <w:sz w:val="20"/>
        </w:rPr>
        <w:t>NEW YORK – February 24, 2026</w:t>
      </w:r>
      <w:r>
        <w:rPr>
          <w:color w:val="000000"/>
        </w:rPr>
        <w:t xml:space="preserve"> </w:t>
      </w:r>
      <w:r>
        <w:rPr>
          <w:rFonts w:ascii="Times New Roman;serif" w:hAnsi="Times New Roman;serif"/>
          <w:b w:val="false"/>
          <w:color w:val="000000"/>
          <w:sz w:val="20"/>
        </w:rPr>
        <w:t>(GLOBE NEWSWIRE) - ExlService Holdings, Inc. (NASDAQ: EXLS), a global data and AI company, today announced its financial results for the quarter and full year ended December 31, 2025.</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Chairman and Chief Executive Officer Rohit Kapoor said, “I am pleased to report another strong quarter as we delivered revenue growth of 12.7% and increased our adjusted diluted EPS by 15.0% year-over-year. Our sustained double-digit growth demonstrates the strength of our competitive position as a global data and AI company. EXL’s recognized industry expertise and leadership in embedding AI in our clients’ businesses are resonating strongly with the market and fueling our growth with new and existing clients. Our investments in building innovative data and AI services and solutions, growing our partner ecosystem, and cultivating AI-native talent are driving our growth momentum and creating differentiated outcomes for our clients.”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 Maurizio Nicolelli said, “We closed 2025 with robust growth across our business segments, a formidable balance sheet and strong free cash flow. For the full year 2026, we expect revenue to be in the range of $2.275 billion to $2.315 billion, reflecting year-over-year growth of 9% to 11% on both a reported and constant currency basis. We expect adjusted diluted EPS to be in the range of $2.14 to $2.19, representing a 10% to 12% increase over 2025.”</w:t>
      </w:r>
    </w:p>
    <w:p>
      <w:pPr>
        <w:pStyle w:val="TextBody"/>
        <w:bidi w:val="0"/>
        <w:spacing w:before="0" w:after="0"/>
        <w:jc w:val="both"/>
        <w:rPr/>
      </w:pPr>
      <w:r>
        <w:rPr/>
      </w:r>
    </w:p>
    <w:p>
      <w:pPr>
        <w:pStyle w:val="TextBody"/>
        <w:bidi w:val="0"/>
        <w:spacing w:lineRule="auto" w:line="360" w:before="0" w:after="0"/>
        <w:jc w:val="both"/>
        <w:rPr>
          <w:color w:val="000000"/>
        </w:rPr>
      </w:pPr>
      <w:r>
        <w:rPr>
          <w:color w:val="000000"/>
        </w:rPr>
        <w:t>“</w:t>
      </w:r>
      <w:r>
        <w:rPr>
          <w:rFonts w:ascii="Times New Roman;serif" w:hAnsi="Times New Roman;serif"/>
          <w:b w:val="false"/>
          <w:color w:val="000000"/>
          <w:sz w:val="20"/>
        </w:rPr>
        <w:t>Our Board of Directors authorized a $500 million common stock repurchase program, effective February 28, 2026, for a two-year period, in line with our capital allocation strategy. This new authorization of $500 million represents confidence in our ability to continue our growth trajectory and generate significant free cash flow.”</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i/>
          <w:color w:val="000000"/>
          <w:sz w:val="20"/>
        </w:rPr>
      </w:pPr>
      <w:r>
        <w:rPr>
          <w:rFonts w:ascii="Times New Roman;serif" w:hAnsi="Times New Roman;serif"/>
          <w:b/>
          <w:i/>
          <w:color w:val="000000"/>
          <w:sz w:val="20"/>
        </w:rPr>
        <w:t>__________________________________________________</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Financial Highlights: Fourth Quarter 2025</w:t>
      </w:r>
    </w:p>
    <w:p>
      <w:pPr>
        <w:pStyle w:val="TextBody"/>
        <w:bidi w:val="0"/>
        <w:spacing w:before="120" w:after="283"/>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Revenue for the quarter ended December 31, 2025, increased to $542.6 million compared to $481.4 million for the fourth quarter of 2024, an increase of 12.7% on a reported basis and 12.6% on a constant currency basis. Revenue increased by 2.5% sequentially, both on a reported basis and on a constant currency basis, from the third quarter of 2025.</w:t>
      </w:r>
    </w:p>
    <w:tbl>
      <w:tblPr>
        <w:tblW w:w="10205" w:type="dxa"/>
        <w:jc w:val="left"/>
        <w:tblInd w:w="0" w:type="dxa"/>
        <w:tblLayout w:type="fixed"/>
        <w:tblCellMar>
          <w:top w:w="28" w:type="dxa"/>
          <w:left w:w="28" w:type="dxa"/>
          <w:bottom w:w="28" w:type="dxa"/>
          <w:right w:w="28" w:type="dxa"/>
        </w:tblCellMar>
      </w:tblPr>
      <w:tblGrid>
        <w:gridCol w:w="575"/>
        <w:gridCol w:w="485"/>
        <w:gridCol w:w="486"/>
        <w:gridCol w:w="109"/>
        <w:gridCol w:w="109"/>
        <w:gridCol w:w="109"/>
        <w:gridCol w:w="236"/>
        <w:gridCol w:w="706"/>
        <w:gridCol w:w="122"/>
        <w:gridCol w:w="109"/>
        <w:gridCol w:w="109"/>
        <w:gridCol w:w="109"/>
        <w:gridCol w:w="236"/>
        <w:gridCol w:w="706"/>
        <w:gridCol w:w="122"/>
        <w:gridCol w:w="109"/>
        <w:gridCol w:w="109"/>
        <w:gridCol w:w="109"/>
        <w:gridCol w:w="238"/>
        <w:gridCol w:w="714"/>
        <w:gridCol w:w="123"/>
        <w:gridCol w:w="109"/>
        <w:gridCol w:w="109"/>
        <w:gridCol w:w="109"/>
        <w:gridCol w:w="323"/>
        <w:gridCol w:w="226"/>
        <w:gridCol w:w="582"/>
        <w:gridCol w:w="109"/>
        <w:gridCol w:w="109"/>
        <w:gridCol w:w="109"/>
        <w:gridCol w:w="323"/>
        <w:gridCol w:w="226"/>
        <w:gridCol w:w="582"/>
        <w:gridCol w:w="109"/>
        <w:gridCol w:w="109"/>
        <w:gridCol w:w="109"/>
        <w:gridCol w:w="318"/>
        <w:gridCol w:w="229"/>
        <w:gridCol w:w="685"/>
      </w:tblGrid>
      <w:tr>
        <w:trPr/>
        <w:tc>
          <w:tcPr>
            <w:tcW w:w="57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Margin</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Reportable Segments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 and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Banking, Capital Markets and Diversified Industries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Growth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542.6</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481.4</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529.6</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w:t>
            </w:r>
            <w:r>
              <w:rPr>
                <w:color w:val="000000"/>
              </w:rPr>
              <w:t> </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w:t>
            </w:r>
            <w:r>
              <w:rPr>
                <w:color w:val="000000"/>
              </w:rPr>
              <w:t> </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the first quarter of 2025, the Company implemented operational and structural changes to accelerate the execution of its data and AI strategy. Under the new structure, beginning with the three months ended March 31, 2025, the Company reports its financial performance based on new segments presented in the table above. In conjunction with the new reporting structure, the Company has recast prior period amounts, wherever applicable, to conform to the way the Company internally manages and monitors segment performance.</w:t>
      </w:r>
    </w:p>
    <w:p>
      <w:pPr>
        <w:pStyle w:val="TextBody"/>
        <w:bidi w:val="0"/>
        <w:spacing w:before="140" w:after="283"/>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Operating income margin for the quarter ended December 31, 2025 was 14.4%, compared to 14.8% for the fourth quarter of 2024 and 14.4% for the third quarter of 2025. Adjusted operating income margin for the quarter ended December 31, 2025 was 18.8%, consistent with the fourth quarter of 2024 and 19.4% for the third quarter of 2025.</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Diluted earnings per share for the quarter ended December 31, 2025 was $0.38, compared to $0.31 for the fourth quarter of 2024 and $0.36 for the third quarter of 2025. Adjusted diluted earnings per share for the quarter ended December 31, 2025 was $0.50, compared to $0.44 for the fourth quarter of 2024 and $0.48 for the third quarter of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Financial Highlights: Full Year 2025</w:t>
      </w:r>
    </w:p>
    <w:p>
      <w:pPr>
        <w:pStyle w:val="TextBody"/>
        <w:bidi w:val="0"/>
        <w:spacing w:before="0" w:after="0"/>
        <w:jc w:val="left"/>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Revenue for the year ended December 31, 2025, increased to $2.09 billion compared to $1.84 billion for the year ended December 31, 2024, an increase of 13.6%, both on a reported basis and on a constant currency basis.</w:t>
      </w:r>
    </w:p>
    <w:tbl>
      <w:tblPr>
        <w:tblW w:w="10205" w:type="dxa"/>
        <w:jc w:val="left"/>
        <w:tblInd w:w="0" w:type="dxa"/>
        <w:tblLayout w:type="fixed"/>
        <w:tblCellMar>
          <w:top w:w="28" w:type="dxa"/>
          <w:left w:w="28" w:type="dxa"/>
          <w:bottom w:w="28" w:type="dxa"/>
          <w:right w:w="28" w:type="dxa"/>
        </w:tblCellMar>
      </w:tblPr>
      <w:tblGrid>
        <w:gridCol w:w="1139"/>
        <w:gridCol w:w="997"/>
        <w:gridCol w:w="999"/>
        <w:gridCol w:w="109"/>
        <w:gridCol w:w="109"/>
        <w:gridCol w:w="109"/>
        <w:gridCol w:w="275"/>
        <w:gridCol w:w="1019"/>
        <w:gridCol w:w="142"/>
        <w:gridCol w:w="109"/>
        <w:gridCol w:w="109"/>
        <w:gridCol w:w="109"/>
        <w:gridCol w:w="275"/>
        <w:gridCol w:w="1019"/>
        <w:gridCol w:w="142"/>
        <w:gridCol w:w="109"/>
        <w:gridCol w:w="109"/>
        <w:gridCol w:w="109"/>
        <w:gridCol w:w="323"/>
        <w:gridCol w:w="293"/>
        <w:gridCol w:w="803"/>
        <w:gridCol w:w="109"/>
        <w:gridCol w:w="109"/>
        <w:gridCol w:w="109"/>
        <w:gridCol w:w="307"/>
        <w:gridCol w:w="285"/>
        <w:gridCol w:w="879"/>
      </w:tblGrid>
      <w:tr>
        <w:trPr/>
        <w:tc>
          <w:tcPr>
            <w:tcW w:w="1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Margin</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Reportable Segments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 and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Banking, Capital Markets and Diversified Industries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Growth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2,087.7</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1,838.4</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w:t>
            </w:r>
            <w:r>
              <w:rPr>
                <w:color w:val="000000"/>
              </w:rPr>
              <w:t> </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w:t>
            </w:r>
            <w:r>
              <w:rPr>
                <w:color w:val="000000"/>
              </w:rPr>
              <w:t> </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40" w:after="283"/>
        <w:ind w:left="0" w:right="0" w:firstLine="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the first quarter of 2025, the Company implemented operational and structural changes to accelerate the execution of its data and AI strategy. Under the new structure, beginning with the three months ended March 31, 2025, the Company reports its financial performance based on new segments presented in the table above. In conjunction with the new reporting structure, the Company has recast prior period amounts, wherever applicable, to conform to the way the Company internally manages and monitors segment performance.</w:t>
      </w:r>
    </w:p>
    <w:p>
      <w:pPr>
        <w:pStyle w:val="TextBody"/>
        <w:bidi w:val="0"/>
        <w:spacing w:before="140" w:after="283"/>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Operating income margin for the year ended December 31, 2025 was 15.0%, compared to 14.3% for the year ended December 31, 2024. Adjusted operating income margin for the year ended December 31, 2025 was 19.5%, compared to 19.4% for the year ended December 31, 2024.</w:t>
      </w:r>
    </w:p>
    <w:p>
      <w:pPr>
        <w:pStyle w:val="TextBody"/>
        <w:bidi w:val="0"/>
        <w:spacing w:before="0" w:after="0"/>
        <w:jc w:val="left"/>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Diluted earnings per share for the year ended December 31, 2025 was $1.54, compared to $1.21 for the year ended December 31, 2024. Adjusted diluted earnings per share for the year ended December 31, 2025 was $1.95, compared to $1.65 for the year ended 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Business Highlights: Fourth Quarter 2025</w:t>
      </w:r>
    </w:p>
    <w:p>
      <w:pPr>
        <w:pStyle w:val="TextBody"/>
        <w:bidi w:val="0"/>
        <w:spacing w:before="0" w:after="0"/>
        <w:jc w:val="left"/>
        <w:rPr/>
      </w:pPr>
      <w:r>
        <w:rPr/>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0"/>
        </w:rPr>
        <w:t>Won 21 new clients in the fourth quarter of 2025 and 65 new clients for the full year 2025.</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0"/>
        </w:rPr>
        <w:t>Unveiled EXLdata.ai, a first-of-its-kind agentic AI-native suite of data solutions to solve enterprises’ biggest challenges in making data ready for AI.</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0"/>
        </w:rPr>
        <w:t>Announced a collaboration with the Insurance Council of Australia and Shift to build insurance fraud detection and investigations platform.</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0"/>
        </w:rPr>
        <w:t>Named a Leader in the following ISG Provider Lens reports: ISG Provider Lens® Generative AI Services (Global); ISG Provider Lens™ Healthcare Digital Services (US 2025 Study) and ISG Provider Lens™ Insurance Services (Global, leader in 5 quadrants).</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0"/>
        </w:rPr>
        <w:t>Secured a Great Place to Work® Certification™ in India and Philippines for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2026 Guidance</w:t>
      </w:r>
    </w:p>
    <w:p>
      <w:pPr>
        <w:pStyle w:val="TextBody"/>
        <w:bidi w:val="0"/>
        <w:spacing w:lineRule="auto" w:line="360"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current visibility, and a U.S. dollar to Indian rupee exchange rate of 90.0, U.K. pound sterling to U.S. dollar exchange rate of 1.34, U.S. dollar to the Philippine peso exchange rate of 59.0 and all other currencies at current exchange rates, we are providing the following guidance for the full year 2026:</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Revenue of $2.275 billion to $2.315 billion, representing an increase of 9% to 11% on both a reported and constant currency basis from 2025.</w:t>
      </w:r>
    </w:p>
    <w:p>
      <w:pPr>
        <w:pStyle w:val="TextBody"/>
        <w:bidi w:val="0"/>
        <w:spacing w:before="0" w:after="0"/>
        <w:jc w:val="both"/>
        <w:rPr/>
      </w:pPr>
      <w:r>
        <w:rPr/>
      </w:r>
    </w:p>
    <w:p>
      <w:pPr>
        <w:pStyle w:val="TextBody"/>
        <w:bidi w:val="0"/>
        <w:spacing w:lineRule="auto" w:line="345" w:before="0" w:after="0"/>
        <w:ind w:left="0" w:right="0" w:hanging="360"/>
        <w:jc w:val="both"/>
        <w:rPr/>
      </w:pPr>
      <w:r>
        <w:rPr>
          <w:color w:val="000000"/>
        </w:rPr>
        <w:t>•</w:t>
      </w:r>
      <w:r>
        <w:rPr>
          <w:rFonts w:ascii="Times New Roman;serif" w:hAnsi="Times New Roman;serif"/>
          <w:b w:val="false"/>
          <w:color w:val="000000"/>
          <w:sz w:val="20"/>
        </w:rPr>
        <w:t>Adjusted diluted earnings per share of $2.14 to $2.19, representing an increase of 10% to 12% from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Conference Call</w:t>
      </w:r>
    </w:p>
    <w:p>
      <w:pPr>
        <w:pStyle w:val="TextBody"/>
        <w:bidi w:val="0"/>
        <w:spacing w:before="0" w:after="0"/>
        <w:jc w:val="both"/>
        <w:rPr/>
      </w:pPr>
      <w:r>
        <w:rPr/>
      </w:r>
    </w:p>
    <w:p>
      <w:pPr>
        <w:pStyle w:val="TextBody"/>
        <w:bidi w:val="0"/>
        <w:spacing w:lineRule="auto" w:line="345" w:before="0" w:after="0"/>
        <w:jc w:val="both"/>
        <w:rPr/>
      </w:pPr>
      <w:r>
        <w:rPr>
          <w:rFonts w:ascii="Times New Roman;serif" w:hAnsi="Times New Roman;serif"/>
          <w:b w:val="false"/>
          <w:color w:val="000000"/>
          <w:sz w:val="20"/>
        </w:rPr>
        <w:t xml:space="preserve">ExlService Holdings, Inc. will host a conference call on Wednesday, February 25, 2026, at 10:00 A.M. ET to discuss the Company’s fourth quarter and year-end operating and financial results. The conference call will be available live via the internet by accessing the investor relations section of EXL’s website at </w:t>
      </w:r>
      <w:r>
        <w:rPr>
          <w:rFonts w:ascii="Times New Roman;serif" w:hAnsi="Times New Roman;serif"/>
          <w:b w:val="false"/>
          <w:color w:val="0000FF"/>
          <w:sz w:val="20"/>
          <w:u w:val="single"/>
        </w:rPr>
        <w:t>ir.exlservice.com</w:t>
      </w:r>
      <w:r>
        <w:rPr>
          <w:rFonts w:ascii="Times New Roman;serif" w:hAnsi="Times New Roman;serif"/>
          <w:b w:val="false"/>
          <w:color w:val="000000"/>
          <w:sz w:val="20"/>
        </w:rPr>
        <w:t>, where an accompanying investor-friendly spreadsheet of historical operating and financial data can also be accessed. Please access the website at least fifteen minutes prior to the call to register, download and install any necessary audio software.</w:t>
      </w:r>
    </w:p>
    <w:p>
      <w:pPr>
        <w:pStyle w:val="TextBody"/>
        <w:bidi w:val="0"/>
        <w:spacing w:before="0" w:after="0"/>
        <w:jc w:val="both"/>
        <w:rPr/>
      </w:pPr>
      <w:r>
        <w:rPr/>
      </w:r>
    </w:p>
    <w:p>
      <w:pPr>
        <w:pStyle w:val="TextBody"/>
        <w:bidi w:val="0"/>
        <w:spacing w:lineRule="auto" w:line="345"/>
        <w:jc w:val="both"/>
        <w:rPr/>
      </w:pPr>
      <w:r>
        <w:rPr>
          <w:rFonts w:ascii="Times New Roman;serif" w:hAnsi="Times New Roman;serif"/>
          <w:b w:val="false"/>
          <w:color w:val="000000"/>
          <w:sz w:val="20"/>
        </w:rPr>
        <w:t>To join the live call, please register</w:t>
      </w:r>
      <w:r>
        <w:rPr>
          <w:color w:val="0000FF"/>
        </w:rPr>
        <w:t xml:space="preserve"> </w:t>
      </w:r>
      <w:r>
        <w:rPr>
          <w:rFonts w:ascii="Times New Roman;serif" w:hAnsi="Times New Roman;serif"/>
          <w:b w:val="false"/>
          <w:color w:val="0000FF"/>
          <w:sz w:val="20"/>
          <w:u w:val="single"/>
        </w:rPr>
        <w:t>here</w:t>
      </w:r>
      <w:r>
        <w:rPr>
          <w:rFonts w:ascii="Times New Roman;serif" w:hAnsi="Times New Roman;serif"/>
          <w:b w:val="false"/>
          <w:color w:val="000000"/>
          <w:sz w:val="20"/>
        </w:rPr>
        <w:t xml:space="preserve">. A dial-in and unique PIN will be provided to join the call. For those who cannot access the live broadcast, a replay will be available on the EXL website </w:t>
      </w:r>
      <w:r>
        <w:rPr>
          <w:rFonts w:ascii="Times New Roman;serif" w:hAnsi="Times New Roman;serif"/>
          <w:b w:val="false"/>
          <w:color w:val="0000FF"/>
          <w:sz w:val="20"/>
          <w:u w:val="single"/>
        </w:rPr>
        <w:t>ir.exlservice.com</w:t>
      </w:r>
      <w:r>
        <w:rPr>
          <w:color w:val="000000"/>
        </w:rPr>
        <w:t xml:space="preserve"> </w:t>
      </w:r>
      <w:r>
        <w:rPr>
          <w:rFonts w:ascii="Times New Roman;serif" w:hAnsi="Times New Roman;serif"/>
          <w:b w:val="false"/>
          <w:color w:val="000000"/>
          <w:sz w:val="20"/>
        </w:rPr>
        <w:t>for a period of twelve months.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About ExlService Holdings, Inc.</w:t>
      </w:r>
    </w:p>
    <w:p>
      <w:pPr>
        <w:pStyle w:val="TextBody"/>
        <w:bidi w:val="0"/>
        <w:spacing w:lineRule="auto" w:line="384" w:before="120" w:after="283"/>
        <w:jc w:val="both"/>
        <w:rPr/>
      </w:pPr>
      <w:r>
        <w:rPr>
          <w:rFonts w:ascii="Times New Roman;serif" w:hAnsi="Times New Roman;serif"/>
          <w:b w:val="false"/>
          <w:color w:val="000000"/>
          <w:sz w:val="20"/>
        </w:rPr>
        <w:t xml:space="preserve">EXL (NASDAQ: EXLS) is a global data and artificial intelligence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 EXL was founded in 1999 with the core values of innovation, collaboration, excellence, integrity and respect. We are headquartered in New York and have over 65,000 employees spanning six continents. For more information, visit </w:t>
      </w:r>
      <w:r>
        <w:rPr>
          <w:rFonts w:ascii="Times New Roman;serif" w:hAnsi="Times New Roman;serif"/>
          <w:b w:val="false"/>
          <w:color w:val="0000FF"/>
          <w:sz w:val="20"/>
          <w:u w:val="single"/>
        </w:rPr>
        <w:t>www.exlservice.com.</w:t>
      </w:r>
    </w:p>
    <w:p>
      <w:pPr>
        <w:pStyle w:val="TextBody"/>
        <w:bidi w:val="0"/>
        <w:spacing w:before="0" w:after="0"/>
        <w:jc w:val="both"/>
        <w:rPr/>
      </w:pPr>
      <w:r>
        <w:rPr/>
      </w:r>
    </w:p>
    <w:p>
      <w:pPr>
        <w:pStyle w:val="TextBody"/>
        <w:bidi w:val="0"/>
        <w:spacing w:lineRule="auto" w:line="345" w:before="120" w:after="283"/>
        <w:jc w:val="both"/>
        <w:rPr/>
      </w:pPr>
      <w:r>
        <w:rPr>
          <w:rFonts w:ascii="Times New Roman;serif" w:hAnsi="Times New Roman;serif"/>
          <w:b/>
          <w:color w:val="000000"/>
          <w:sz w:val="20"/>
        </w:rPr>
        <w:t>Cautionary Statement Regarding Forward-Looking Statements</w:t>
      </w:r>
      <w:r>
        <w:rPr>
          <w:color w:val="000000"/>
        </w:rPr>
        <w:t xml:space="preserve"> </w:t>
      </w:r>
      <w:r>
        <w:rPr>
          <w:rFonts w:ascii="Times New Roman;serif" w:hAnsi="Times New Roman;serif"/>
          <w:b w:val="false"/>
          <w:i/>
          <w:color w:val="000000"/>
          <w:sz w:val="20"/>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risks related to the use of AI technology, impact on client demands by our selling cycles, our ability to hire and retain sufficiently trained employees, and our ability to accurately estimate and/or manage costs, and risks related to the international nature of our business and other factors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1533"/>
        <w:gridCol w:w="1239"/>
        <w:gridCol w:w="1224"/>
        <w:gridCol w:w="211"/>
        <w:gridCol w:w="976"/>
        <w:gridCol w:w="109"/>
        <w:gridCol w:w="109"/>
        <w:gridCol w:w="109"/>
        <w:gridCol w:w="109"/>
        <w:gridCol w:w="211"/>
        <w:gridCol w:w="976"/>
        <w:gridCol w:w="109"/>
        <w:gridCol w:w="109"/>
        <w:gridCol w:w="109"/>
        <w:gridCol w:w="109"/>
        <w:gridCol w:w="241"/>
        <w:gridCol w:w="945"/>
        <w:gridCol w:w="109"/>
        <w:gridCol w:w="109"/>
        <w:gridCol w:w="109"/>
        <w:gridCol w:w="109"/>
        <w:gridCol w:w="241"/>
        <w:gridCol w:w="945"/>
        <w:gridCol w:w="155"/>
      </w:tblGrid>
      <w:tr>
        <w:trPr/>
        <w:tc>
          <w:tcPr>
            <w:tcW w:w="153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Gross profit </w:t>
            </w:r>
            <w:r>
              <w:rPr>
                <w:rFonts w:ascii="Times New Roman;serif" w:hAnsi="Times New Roman;serif"/>
                <w:b/>
                <w:color w:val="000000"/>
                <w:sz w:val="13"/>
              </w:rPr>
              <w:t>(1)</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801,076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691,013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209,638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183,403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313,750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263,620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71,242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 and earnings from equity affiliates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315,052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261,347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70,565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earnings from equity affiliates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251,324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198,411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50,715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from equity-method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251,019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198,297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50,672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in computing earnings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161,028,312 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162,718,840 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158,254,273 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161,292,473 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162,481,586 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159,513,668 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163,436,793 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ind w:left="0" w:right="0" w:firstLine="270"/>
        <w:jc w:val="left"/>
        <w:rPr/>
      </w:pPr>
      <w:r>
        <w:rPr/>
      </w:r>
    </w:p>
    <w:p>
      <w:pPr>
        <w:pStyle w:val="TextBody"/>
        <w:bidi w:val="0"/>
        <w:spacing w:lineRule="auto" w:line="288" w:before="20" w:after="120"/>
        <w:ind w:left="0" w:right="0" w:firstLine="270"/>
        <w:jc w:val="left"/>
        <w:rPr/>
      </w:pPr>
      <w:r>
        <w:rPr>
          <w:rFonts w:ascii="Times New Roman;serif" w:hAnsi="Times New Roman;serif"/>
          <w:b w:val="false"/>
          <w:color w:val="000000"/>
          <w:sz w:val="12"/>
        </w:rPr>
        <w:t>(</w:t>
      </w:r>
      <w:r>
        <w:rPr>
          <w:rFonts w:ascii="Times New Roman;serif" w:hAnsi="Times New Roman;serif"/>
          <w:b w:val="false"/>
          <w:i/>
          <w:color w:val="000000"/>
          <w:sz w:val="12"/>
        </w:rPr>
        <w:t xml:space="preserve">1) </w:t>
      </w:r>
      <w:r>
        <w:rPr>
          <w:rFonts w:ascii="Times New Roman;serif" w:hAnsi="Times New Roman;serif"/>
          <w:b w:val="false"/>
          <w:i/>
          <w:color w:val="000000"/>
          <w:sz w:val="18"/>
        </w:rPr>
        <w:t>Exclusive of depreciation and amortization expense.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2684"/>
        <w:gridCol w:w="2100"/>
        <w:gridCol w:w="2122"/>
        <w:gridCol w:w="109"/>
        <w:gridCol w:w="109"/>
        <w:gridCol w:w="109"/>
        <w:gridCol w:w="213"/>
        <w:gridCol w:w="966"/>
        <w:gridCol w:w="118"/>
        <w:gridCol w:w="109"/>
        <w:gridCol w:w="109"/>
        <w:gridCol w:w="109"/>
        <w:gridCol w:w="213"/>
        <w:gridCol w:w="963"/>
        <w:gridCol w:w="172"/>
      </w:tblGrid>
      <w:tr>
        <w:trPr/>
        <w:tc>
          <w:tcPr>
            <w:tcW w:w="2684"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w:t>
            </w:r>
          </w:p>
        </w:tc>
      </w:tr>
      <w:tr>
        <w:trPr/>
        <w:tc>
          <w:tcPr>
            <w:tcW w:w="6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6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Accounts receivable,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140,317 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829,957</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795,189</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Property and equipment,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101,837 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Other intangible assets,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1,702,235</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1,618,403</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portion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324,125</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290,116</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borrowings,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293,712 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283,598 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789,530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688,541</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$0.001 par value; 15,000,000 shares authorized,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$0.001 par value; 400,000,000 shares authorized, 208,855,566 shares issued and 156,430,028 shares outstanding as of December 31, 2025 and 206,510,587 shares issued and 161,801,212 shares 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677,562 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1,532,979 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1,281,960 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including shares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2,030,023</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1,716,027</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52,425,538 shares as of December 31, 2025 and 44,709,375 shares as of December 31, 2024, held in treasury,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(1,117,318)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(786,165)</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912,705</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929,862</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 xml:space="preserve">Total 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1,702,235</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1,618,403</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ind w:left="0" w:right="0" w:firstLine="27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20"/>
        <w:ind w:left="0" w:right="0" w:firstLine="27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44" w:after="283"/>
        <w:jc w:val="center"/>
        <w:rPr>
          <w:rFonts w:ascii="Times New Roman;serif" w:hAnsi="Times New Roman;serif"/>
          <w:b/>
          <w:color w:val="000000"/>
          <w:sz w:val="20"/>
        </w:rPr>
      </w:pPr>
      <w:r>
        <w:rPr>
          <w:rFonts w:ascii="Times New Roman;serif" w:hAnsi="Times New Roman;serif"/>
          <w:b/>
          <w:color w:val="000000"/>
          <w:sz w:val="20"/>
        </w:rPr>
        <w:t>Reconciliation of Adjusted Financial Measures to GAAP Measures</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its reported operating results in accordance with U.S. generally accepted accounting principles (GAAP), EXL has included in this release certain financial measures that are considered non-GAAP financial measures, including the following: </w:t>
      </w:r>
    </w:p>
    <w:p>
      <w:pPr>
        <w:pStyle w:val="TextBody"/>
        <w:bidi w:val="0"/>
        <w:spacing w:lineRule="auto" w:line="417"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(i)Adjusted operating income and adjusted operating income margin;</w:t>
      </w:r>
    </w:p>
    <w:p>
      <w:pPr>
        <w:pStyle w:val="TextBody"/>
        <w:bidi w:val="0"/>
        <w:spacing w:lineRule="auto" w:line="34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(ii)Adjusted EBITDA and adjusted EBITDA margin;</w:t>
      </w:r>
    </w:p>
    <w:p>
      <w:pPr>
        <w:pStyle w:val="TextBody"/>
        <w:bidi w:val="0"/>
        <w:spacing w:lineRule="auto" w:line="34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(iii)Adjusted net income and adjusted diluted earnings per share; and</w:t>
      </w:r>
    </w:p>
    <w:p>
      <w:pPr>
        <w:pStyle w:val="TextBody"/>
        <w:bidi w:val="0"/>
        <w:spacing w:lineRule="auto" w:line="34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(iv)Revenue growth on a constant currency basis.</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future acquisitions and the currency fluctuations and associated tax effects. As such, the Company presents guidance with respect to adjusted diluted earnings per share. The Company also incurs significant non-cash charges for depreciation that may not be indicative of the Company’s ability to generate cash flow.</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EXL non-GAAP financial measures exclude, where applicable, stock-based compensation expense, amortization of acquisition-related intangible assets, provision for restructuring and litigation settlement matters, certain defined social security contributions,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pStyle w:val="TextBody"/>
        <w:bidi w:val="0"/>
        <w:spacing w:before="0" w:after="0"/>
        <w:ind w:left="0" w:right="0" w:firstLine="45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EXL provides information about revenues on a constant currency basis so that the revenues may be viewed without the impact of foreign currency exchange rate fluctuations compared to prior fiscal periods, thereby facilitating period-to-period comparisons of the Company's underlying business performance. Revenue growth on a constant currency basis is calculated by restating current-period activity using the prior fiscal period's foreign currency exchange rates adjusted for hedging gains/losses in such period. Foreign currency translation impacted revenue growth, primarily driven by movements in the U.S. dollar against the Indian rupee (INR), the U.K. pound sterling (GBP), and Australian dollar (AUD). </w:t>
      </w:r>
    </w:p>
    <w:p>
      <w:pPr>
        <w:pStyle w:val="TextBody"/>
        <w:bidi w:val="0"/>
        <w:spacing w:before="0" w:after="0"/>
        <w:ind w:left="0" w:right="0" w:firstLine="45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ind w:left="0" w:right="0" w:firstLine="45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5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reconciliation of these non-GAAP financial measures for the year ended December 31, 2025 and 2024, the three months ended December 31, 2025 and 2024 and the three months ended September 30,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Adjusted Operating Income and Adjusted EBITDA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1627"/>
        <w:gridCol w:w="1007"/>
        <w:gridCol w:w="993"/>
        <w:gridCol w:w="109"/>
        <w:gridCol w:w="109"/>
        <w:gridCol w:w="109"/>
        <w:gridCol w:w="227"/>
        <w:gridCol w:w="239"/>
        <w:gridCol w:w="485"/>
        <w:gridCol w:w="109"/>
        <w:gridCol w:w="109"/>
        <w:gridCol w:w="109"/>
        <w:gridCol w:w="227"/>
        <w:gridCol w:w="239"/>
        <w:gridCol w:w="485"/>
        <w:gridCol w:w="109"/>
        <w:gridCol w:w="109"/>
        <w:gridCol w:w="109"/>
        <w:gridCol w:w="230"/>
        <w:gridCol w:w="236"/>
        <w:gridCol w:w="474"/>
        <w:gridCol w:w="109"/>
        <w:gridCol w:w="109"/>
        <w:gridCol w:w="109"/>
        <w:gridCol w:w="220"/>
        <w:gridCol w:w="342"/>
        <w:gridCol w:w="349"/>
        <w:gridCol w:w="109"/>
        <w:gridCol w:w="109"/>
        <w:gridCol w:w="109"/>
        <w:gridCol w:w="447"/>
        <w:gridCol w:w="334"/>
        <w:gridCol w:w="409"/>
      </w:tblGrid>
      <w:tr>
        <w:trPr/>
        <w:tc>
          <w:tcPr>
            <w:tcW w:w="162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198,297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58,161</w:t>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16,456</w:t>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add/(subtract): Foreign exchange (gain), net, interest expense, loss/(gain) from equity-method investment and other loss/(income),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w:t>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263,620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76,174</w:t>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23,139</w:t>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Amortization of acquisition-related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w:t>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Restructuring and litigation settlement costs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operating income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406,359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356,082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102,623</w:t>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operating income margin as a % of Revenue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19.5 </w:t>
            </w:r>
          </w:p>
        </w:tc>
        <w:tc>
          <w:tcPr>
            <w:tcW w:w="4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19.4 </w:t>
            </w:r>
          </w:p>
        </w:tc>
        <w:tc>
          <w:tcPr>
            <w:tcW w:w="4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18.8 </w:t>
            </w:r>
          </w:p>
        </w:tc>
        <w:tc>
          <w:tcPr>
            <w:tcW w:w="4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19.4%</w:t>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Depreciation on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11,818</w:t>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452,303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397,671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114,441</w:t>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EBITDA margin as a % of revenue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21.7 </w:t>
            </w:r>
          </w:p>
        </w:tc>
        <w:tc>
          <w:tcPr>
            <w:tcW w:w="4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21.6 </w:t>
            </w:r>
          </w:p>
        </w:tc>
        <w:tc>
          <w:tcPr>
            <w:tcW w:w="4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21.2 </w:t>
            </w:r>
          </w:p>
        </w:tc>
        <w:tc>
          <w:tcPr>
            <w:tcW w:w="4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21.6%</w:t>
            </w:r>
          </w:p>
        </w:tc>
      </w:tr>
      <w:tr>
        <w:trPr/>
        <w:tc>
          <w:tcPr>
            <w:tcW w:w="3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hanging="270"/>
        <w:jc w:val="both"/>
        <w:rPr/>
      </w:pPr>
      <w:r>
        <w:rPr>
          <w:rFonts w:ascii="Times New Roman;serif" w:hAnsi="Times New Roman;serif"/>
          <w:b w:val="false"/>
          <w:color w:val="000000"/>
          <w:sz w:val="18"/>
        </w:rPr>
        <w:t>(a) To exclude effects of employee severance costs and outplacement support costs of $4,762 and litigation settlement costs and associated legal fees of $1,412 during the year ended December 31, 2024</w:t>
      </w:r>
      <w:r>
        <w:rPr>
          <w:rFonts w:ascii="Times New Roman;serif" w:hAnsi="Times New Roman;serif"/>
          <w:b w:val="false"/>
          <w:i/>
          <w:color w:val="000000"/>
          <w:sz w:val="18"/>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Adjusted Net Income and Adjusted Diluted Earnings Per Share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w:t>
      </w:r>
    </w:p>
    <w:tbl>
      <w:tblPr>
        <w:tblW w:w="10205" w:type="dxa"/>
        <w:jc w:val="center"/>
        <w:tblInd w:w="0" w:type="dxa"/>
        <w:tblLayout w:type="fixed"/>
        <w:tblCellMar>
          <w:top w:w="28" w:type="dxa"/>
          <w:left w:w="28" w:type="dxa"/>
          <w:bottom w:w="28" w:type="dxa"/>
          <w:right w:w="28" w:type="dxa"/>
        </w:tblCellMar>
      </w:tblPr>
      <w:tblGrid>
        <w:gridCol w:w="1515"/>
        <w:gridCol w:w="1001"/>
        <w:gridCol w:w="912"/>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212"/>
        <w:gridCol w:w="716"/>
        <w:gridCol w:w="170"/>
      </w:tblGrid>
      <w:tr>
        <w:trPr/>
        <w:tc>
          <w:tcPr>
            <w:tcW w:w="151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251,019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198,297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60,246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50,672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58,161</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Amortization of acquisition-related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add: Restructuring and litigation settlement costs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add/(subtract): Changes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Other tax expenses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subtract: Acquisition-related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subtract: Tax impact on stock-based compensation expense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subtract: Tax impact on amortization of acquisition-related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add/(subtract): Tax impact on restructuring and litigation settlement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add/(subtract): Tax impact on changes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316,940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271,699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80,084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71,345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78,010</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earnings per share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0.44</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0.48</w:t>
            </w:r>
            <w:r>
              <w:rPr>
                <w:color w:val="000000"/>
              </w:rPr>
              <w:t>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 To exclude effects of employee severance costs and outplacement support costs of $4,762 and litigation settlement costs and associated legal fees of $1,412 during the year ended December 31, 2024.</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(b) To exclude tax expenses related to certain deferred tax assets and liabilities.</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(c) Tax impact includes $15,930 and $9,714 for the year ended December 31, 2025 and 2024 respectively, $1,138 and $500 for the three months ended December 31, 2025 and 2024 respectively, and $64 for the three months ended September 30, 2025 related to discrete benefit recognized in income tax expense in accordance with ASU No. 2016-09, Compensation - Stock Compensation.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Contacts: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Investor Relations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Andrew Thut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Senior Vice President, Investor Relations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+1 617 413 0069</w:t>
      </w:r>
    </w:p>
    <w:p>
      <w:pPr>
        <w:pStyle w:val="TextBody"/>
        <w:bidi w:val="0"/>
        <w:spacing w:lineRule="auto" w:line="288" w:before="0" w:after="0"/>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ir@exlservice.com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Media - US</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Keith Little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Assistant Vice President, Media Relations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+1 703 598 0980</w:t>
      </w:r>
    </w:p>
    <w:p>
      <w:pPr>
        <w:pStyle w:val="TextBody"/>
        <w:bidi w:val="0"/>
        <w:spacing w:lineRule="auto" w:line="288"/>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media.relations@exlservice.com</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4049</Words>
  <Characters>23324</Characters>
  <CharactersWithSpaces>26947</CharactersWithSpaces>
  <Paragraphs>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