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08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08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SAWHNEY MOHANBIR 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06/19/2015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(2)</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2,853</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8"/>
              <w:spacing w:after="0" w:line="149" w:lineRule="exact"/>
              <w:rPr>
                <w:sz w:val="20"/>
                <w:szCs w:val="20"/>
                <w:color w:val="auto"/>
              </w:rPr>
            </w:pPr>
            <w:r>
              <w:rPr>
                <w:rFonts w:ascii="Arial" w:cs="Arial" w:eastAsia="Arial" w:hAnsi="Arial"/>
                <w:sz w:val="14"/>
                <w:szCs w:val="14"/>
                <w:color w:val="0000FF"/>
              </w:rPr>
              <w:t>06/19/2015</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tcPr>
          <w:p>
            <w:pPr>
              <w:ind w:left="100"/>
              <w:spacing w:after="0" w:line="149" w:lineRule="exact"/>
              <w:rPr>
                <w:sz w:val="20"/>
                <w:szCs w:val="20"/>
                <w:color w:val="auto"/>
              </w:rPr>
            </w:pPr>
            <w:r>
              <w:rPr>
                <w:rFonts w:ascii="Arial" w:cs="Arial" w:eastAsia="Arial" w:hAnsi="Arial"/>
                <w:sz w:val="14"/>
                <w:szCs w:val="14"/>
                <w:color w:val="0000FF"/>
              </w:rPr>
              <w:t>2,853</w:t>
            </w:r>
          </w:p>
        </w:tc>
        <w:tc>
          <w:tcPr>
            <w:tcW w:w="2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00"/>
              <w:spacing w:after="0" w:line="149" w:lineRule="exact"/>
              <w:rPr>
                <w:sz w:val="20"/>
                <w:szCs w:val="20"/>
                <w:color w:val="auto"/>
              </w:rPr>
            </w:pPr>
            <w:r>
              <w:rPr>
                <w:rFonts w:ascii="Arial" w:cs="Arial" w:eastAsia="Arial" w:hAnsi="Arial"/>
                <w:sz w:val="14"/>
                <w:szCs w:val="14"/>
                <w:color w:val="0000FF"/>
              </w:rPr>
              <w:t>37,037</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represents a contingent right to receive one share of the Company's common stock upon settlement.</w:t>
      </w:r>
    </w:p>
    <w:p>
      <w:pPr>
        <w:spacing w:after="0" w:line="41" w:lineRule="exact"/>
        <w:rPr>
          <w:rFonts w:ascii="Arial" w:cs="Arial" w:eastAsia="Arial" w:hAnsi="Arial"/>
          <w:sz w:val="14"/>
          <w:szCs w:val="14"/>
          <w:color w:val="008000"/>
        </w:rPr>
      </w:pPr>
    </w:p>
    <w:p>
      <w:pPr>
        <w:jc w:val="both"/>
        <w:ind w:left="40" w:right="160" w:firstLine="9"/>
        <w:spacing w:after="0" w:line="28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restricted stock units vest upon the earlier of (i) the first anniversary of the date of grant, (ii) the end of the reporting person's term on the Board of Directors of ExlService Holdings, Inc. (the "Board") if such person is not subsequently elected to a new term on the Board, and (iii) the occurrence of a "Change in Control", as defined in the ExlService Holdings, Inc. 2015 Amendment and Restatement of the 2006 Omnibus Award Plan (the "Plan"), and such awards settle upon the earlier of (i) the reporting person's death, (ii) the occurrence of a "Change of Control", as defined in the Plan and (iii) the vesting date.</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06/23/2015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4538"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2019-12-08T12:15:11Z</dcterms:created>
  <dcterms:modified xsi:type="dcterms:W3CDTF">2019-12-08T12:15:11Z</dcterms:modified>
</cp:coreProperties>
</file>