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#302081104</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#302081104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line="238" w:lineRule="auto"/>
        <w:rPr>
          <w:sz w:val="20"/>
          <w:szCs w:val="20"/>
          <w:color w:val="auto"/>
        </w:rPr>
      </w:pPr>
      <w:r>
        <w:rPr>
          <w:rFonts w:ascii="Courier New" w:cs="Courier New" w:eastAsia="Courier New" w:hAnsi="Courier New"/>
          <w:sz w:val="18"/>
          <w:szCs w:val="18"/>
          <w:color w:val="auto"/>
        </w:rPr>
        <w:t>Item 4: Delaware</w:t>
      </w:r>
    </w:p>
    <w:p>
      <w:pPr>
        <w:spacing w:after="0"/>
        <w:rPr>
          <w:sz w:val="20"/>
          <w:szCs w:val="20"/>
          <w:color w:val="auto"/>
        </w:rPr>
      </w:pPr>
      <w:r>
        <w:rPr>
          <w:rFonts w:ascii="Courier New" w:cs="Courier New" w:eastAsia="Courier New" w:hAnsi="Courier New"/>
          <w:sz w:val="18"/>
          <w:szCs w:val="18"/>
          <w:color w:val="auto"/>
        </w:rPr>
        <w:t>Item 5: 1,283,491</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4,267,471</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4,267,471</w:t>
      </w:r>
    </w:p>
    <w:tbl>
      <w:tblPr>
        <w:tblLayout w:type="fixed"/>
        <w:tblInd w:w="0" w:type="dxa"/>
        <w:tblCellMar>
          <w:top w:w="0" w:type="dxa"/>
          <w:left w:w="0" w:type="dxa"/>
          <w:bottom w:w="0" w:type="dxa"/>
          <w:right w:w="0" w:type="dxa"/>
        </w:tblCellMar>
      </w:tblPr>
      <w:tr>
        <w:trPr>
          <w:trHeight w:val="171"/>
        </w:trPr>
        <w:tc>
          <w:tcPr>
            <w:tcW w:w="480" w:type="dxa"/>
            <w:vAlign w:val="bottom"/>
          </w:tcPr>
          <w:p>
            <w:pPr>
              <w:spacing w:after="0" w:line="170"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170"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12.957%</w:t>
            </w:r>
          </w:p>
        </w:tc>
      </w:tr>
      <w:tr>
        <w:trPr>
          <w:trHeight w:val="296"/>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HC</w:t>
            </w:r>
          </w:p>
        </w:tc>
      </w:tr>
    </w:tbl>
    <w:p>
      <w:pPr>
        <w:spacing w:after="0" w:line="31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#302081104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Edward C. Johnson 3d</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4,267,471</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4,267,471</w:t>
      </w:r>
    </w:p>
    <w:tbl>
      <w:tblPr>
        <w:tblLayout w:type="fixed"/>
        <w:tblInd w:w="0" w:type="dxa"/>
        <w:tblCellMar>
          <w:top w:w="0" w:type="dxa"/>
          <w:left w:w="0" w:type="dxa"/>
          <w:bottom w:w="0" w:type="dxa"/>
          <w:right w:w="0" w:type="dxa"/>
        </w:tblCellMar>
      </w:tblPr>
      <w:tr>
        <w:trPr>
          <w:trHeight w:val="171"/>
        </w:trPr>
        <w:tc>
          <w:tcPr>
            <w:tcW w:w="480" w:type="dxa"/>
            <w:vAlign w:val="bottom"/>
          </w:tcPr>
          <w:p>
            <w:pPr>
              <w:spacing w:after="0" w:line="170"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170"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170" w:lineRule="exact"/>
              <w:rPr>
                <w:sz w:val="20"/>
                <w:szCs w:val="20"/>
                <w:color w:val="auto"/>
              </w:rPr>
            </w:pPr>
            <w:r>
              <w:rPr>
                <w:rFonts w:ascii="Courier New" w:cs="Courier New" w:eastAsia="Courier New" w:hAnsi="Courier New"/>
                <w:sz w:val="18"/>
                <w:szCs w:val="18"/>
                <w:color w:val="auto"/>
                <w:w w:val="95"/>
              </w:rPr>
              <w:t>12.957%</w:t>
            </w:r>
          </w:p>
        </w:tc>
      </w:tr>
      <w:tr>
        <w:trPr>
          <w:trHeight w:val="296"/>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37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EXLSERVICE HOLDINGS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350 Park Avenue</w:t>
      </w:r>
    </w:p>
    <w:p>
      <w:pPr>
        <w:spacing w:after="0" w:line="29"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10th Floor</w:t>
      </w:r>
    </w:p>
    <w:p>
      <w:pPr>
        <w:ind w:left="1700"/>
        <w:spacing w:after="0"/>
        <w:tabs>
          <w:tab w:leader="none" w:pos="3140" w:val="left"/>
        </w:tabs>
        <w:rPr>
          <w:sz w:val="20"/>
          <w:szCs w:val="20"/>
          <w:color w:val="auto"/>
        </w:rPr>
      </w:pPr>
      <w:r>
        <w:rPr>
          <w:rFonts w:ascii="Courier New" w:cs="Courier New" w:eastAsia="Courier New" w:hAnsi="Courier New"/>
          <w:sz w:val="18"/>
          <w:szCs w:val="18"/>
          <w:color w:val="auto"/>
        </w:rPr>
        <w:t>New York, NY</w:t>
        <w:tab/>
        <w:t>10022</w:t>
      </w:r>
    </w:p>
    <w:p>
      <w:pPr>
        <w:spacing w:after="0" w:line="37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ind w:right="3359"/>
        <w:spacing w:after="0" w:line="347"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18"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245 Summer Street, Boston,</w:t>
      </w:r>
    </w:p>
    <w:p>
      <w:pPr>
        <w:spacing w:after="0" w:line="31"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Massachusetts</w:t>
        <w:tab/>
        <w:t>02210</w:t>
      </w:r>
    </w:p>
    <w:p>
      <w:pPr>
        <w:spacing w:after="0" w:line="169"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302081104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53" w:lineRule="exact"/>
        <w:rPr>
          <w:sz w:val="24"/>
          <w:szCs w:val="24"/>
          <w:color w:val="auto"/>
        </w:rPr>
      </w:pPr>
    </w:p>
    <w:p>
      <w:pPr>
        <w:ind w:right="3899"/>
        <w:spacing w:after="0" w:line="273"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4,267,471</w:t>
      </w:r>
    </w:p>
    <w:p>
      <w:pPr>
        <w:sectPr>
          <w:pgSz w:w="11900" w:h="16838" w:orient="portrait"/>
          <w:cols w:equalWidth="0" w:num="1">
            <w:col w:w="10219"/>
          </w:cols>
          <w:pgMar w:left="240" w:top="218"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12.957%</w:t>
      </w:r>
    </w:p>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12" w:right="1440" w:bottom="0" w:gutter="0" w:footer="0" w:header="0"/>
        </w:sectPr>
      </w:pP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1,283,491</w:t>
      </w:r>
    </w:p>
    <w:p>
      <w:pPr>
        <w:spacing w:after="0" w:line="169" w:lineRule="exact"/>
        <w:rPr>
          <w:sz w:val="20"/>
          <w:szCs w:val="20"/>
          <w:color w:val="auto"/>
        </w:rPr>
      </w:pPr>
    </w:p>
    <w:p>
      <w:pPr>
        <w:sectPr>
          <w:pgSz w:w="11900" w:h="16838" w:orient="portrait"/>
          <w:cols w:equalWidth="0" w:num="2">
            <w:col w:w="1160" w:space="540"/>
            <w:col w:w="8519"/>
          </w:cols>
          <w:pgMar w:left="240" w:top="312" w:right="1440" w:bottom="0" w:gutter="0" w:footer="0" w:header="0"/>
          <w:type w:val="continuous"/>
        </w:sect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120" w:type="dxa"/>
            <w:vAlign w:val="bottom"/>
          </w:tcPr>
          <w:p>
            <w:pPr>
              <w:spacing w:after="0"/>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77"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060" w:type="dxa"/>
            <w:vAlign w:val="bottom"/>
          </w:tcPr>
          <w:p>
            <w:pPr>
              <w:spacing w:after="0"/>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4,267,471</w:t>
            </w:r>
          </w:p>
        </w:tc>
      </w:tr>
    </w:tbl>
    <w:p>
      <w:pPr>
        <w:spacing w:after="0" w:line="77"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060" w:type="dxa"/>
            <w:vAlign w:val="bottom"/>
          </w:tcPr>
          <w:p>
            <w:pPr>
              <w:spacing w:after="0"/>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right="3479"/>
        <w:spacing w:after="0" w:line="347"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18" w:lineRule="exact"/>
        <w:rPr>
          <w:sz w:val="20"/>
          <w:szCs w:val="20"/>
          <w:color w:val="auto"/>
        </w:rPr>
      </w:pPr>
    </w:p>
    <w:p>
      <w:pPr>
        <w:ind w:right="3359" w:firstLine="843"/>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EXLSERVICE HOLDINGS</w:t>
      </w:r>
    </w:p>
    <w:p>
      <w:pPr>
        <w:spacing w:after="0" w:line="3" w:lineRule="exact"/>
        <w:rPr>
          <w:sz w:val="20"/>
          <w:szCs w:val="20"/>
          <w:color w:val="auto"/>
        </w:rPr>
      </w:pPr>
    </w:p>
    <w:p>
      <w:pPr>
        <w:ind w:right="4619"/>
        <w:spacing w:after="0" w:line="273" w:lineRule="auto"/>
        <w:rPr>
          <w:sz w:val="20"/>
          <w:szCs w:val="20"/>
          <w:color w:val="auto"/>
        </w:rPr>
      </w:pPr>
      <w:r>
        <w:rPr>
          <w:rFonts w:ascii="Courier New" w:cs="Courier New" w:eastAsia="Courier New" w:hAnsi="Courier New"/>
          <w:sz w:val="18"/>
          <w:szCs w:val="18"/>
          <w:color w:val="auto"/>
        </w:rPr>
        <w:t>INC. No one person's interest in the Common Stock of EXLSERVICE HOLDINGS INC is more than five percent of the total outstanding Common Stock.</w:t>
      </w:r>
    </w:p>
    <w:p>
      <w:pPr>
        <w:spacing w:after="0" w:line="82" w:lineRule="exact"/>
        <w:rPr>
          <w:sz w:val="20"/>
          <w:szCs w:val="20"/>
          <w:color w:val="auto"/>
        </w:rPr>
      </w:pPr>
    </w:p>
    <w:p>
      <w:pPr>
        <w:ind w:right="335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6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ind w:right="4419"/>
        <w:spacing w:after="0" w:line="347"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18"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3039" w:firstLine="843"/>
        <w:spacing w:after="0" w:line="28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62"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039" w:firstLine="843"/>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2014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Duly authorized under Power of Attorney</w:t>
      </w:r>
    </w:p>
    <w:p>
      <w:pPr>
        <w:ind w:right="4319"/>
        <w:spacing w:after="0" w:line="309"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5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12" w:right="1440" w:bottom="0" w:gutter="0" w:footer="0" w:header="0"/>
          <w:type w:val="continuous"/>
        </w:sectPr>
      </w:pPr>
    </w:p>
    <w:bookmarkStart w:id="2" w:name="page3"/>
    <w:bookmarkEnd w:id="2"/>
    <w:p>
      <w:pPr>
        <w:ind w:right="3579" w:firstLine="843"/>
        <w:spacing w:after="0" w:line="250"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245 Summer Street, Boston, Massachusetts 02210, a wholly-</w:t>
      </w:r>
    </w:p>
    <w:p>
      <w:pPr>
        <w:spacing w:after="0" w:line="3"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owned subsidiary of FMR LLC and an investment adviser registered under Section 203 of the Investment Advisers Act of 1940, is the beneficial owner of 1,826,970 shares or 5.547% of the Common Stock outstanding of EXLSERVICE</w:t>
      </w:r>
    </w:p>
    <w:p>
      <w:pPr>
        <w:spacing w:after="0" w:line="1" w:lineRule="exact"/>
        <w:rPr>
          <w:sz w:val="20"/>
          <w:szCs w:val="20"/>
          <w:color w:val="auto"/>
        </w:rPr>
      </w:pPr>
    </w:p>
    <w:p>
      <w:pPr>
        <w:ind w:right="3779"/>
        <w:spacing w:after="0" w:line="323" w:lineRule="auto"/>
        <w:rPr>
          <w:sz w:val="20"/>
          <w:szCs w:val="20"/>
          <w:color w:val="auto"/>
        </w:rPr>
      </w:pPr>
      <w:r>
        <w:rPr>
          <w:rFonts w:ascii="Courier New" w:cs="Courier New" w:eastAsia="Courier New" w:hAnsi="Courier New"/>
          <w:sz w:val="16"/>
          <w:szCs w:val="16"/>
          <w:color w:val="auto"/>
        </w:rPr>
        <w:t>HOLDINGS INC ("the Company") as a result of acting as investment adviser to various investment companies registered under Section 8 of the Investment Company Act of 1940.</w:t>
      </w:r>
    </w:p>
    <w:p>
      <w:pPr>
        <w:spacing w:after="0" w:line="47" w:lineRule="exact"/>
        <w:rPr>
          <w:sz w:val="20"/>
          <w:szCs w:val="20"/>
          <w:color w:val="auto"/>
        </w:rPr>
      </w:pPr>
    </w:p>
    <w:p>
      <w:pPr>
        <w:ind w:right="4199" w:firstLine="843"/>
        <w:spacing w:after="0" w:line="292"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1,826,970 shares owned by the Funds.</w:t>
      </w:r>
    </w:p>
    <w:p>
      <w:pPr>
        <w:spacing w:after="0" w:line="66" w:lineRule="exact"/>
        <w:rPr>
          <w:sz w:val="20"/>
          <w:szCs w:val="20"/>
          <w:color w:val="auto"/>
        </w:rPr>
      </w:pPr>
    </w:p>
    <w:p>
      <w:pPr>
        <w:ind w:right="3679" w:firstLine="843"/>
        <w:spacing w:after="0" w:line="244" w:lineRule="auto"/>
        <w:rPr>
          <w:sz w:val="20"/>
          <w:szCs w:val="20"/>
          <w:color w:val="auto"/>
        </w:rPr>
      </w:pPr>
      <w:r>
        <w:rPr>
          <w:rFonts w:ascii="Courier New" w:cs="Courier New" w:eastAsia="Courier New" w:hAnsi="Courier New"/>
          <w:sz w:val="18"/>
          <w:szCs w:val="18"/>
          <w:color w:val="auto"/>
        </w:rPr>
        <w:t>Fidelity SelectCo, LLC ("SelectCo"), 1225 17th Street, Suite 1100, Denver, Colorado 80202, a wholly-owned subsidiary of FMR LLC and an investment adviser registered under Section 203 of the Investment Advisers Act of 1940, is the beneficial owner of 1,157,010 shares or 3.513% of the Common Stock outstanding of EXLSERVICE HOLDINGS</w:t>
      </w:r>
    </w:p>
    <w:p>
      <w:pPr>
        <w:spacing w:after="0" w:line="4" w:lineRule="exact"/>
        <w:rPr>
          <w:sz w:val="20"/>
          <w:szCs w:val="20"/>
          <w:color w:val="auto"/>
        </w:rPr>
      </w:pPr>
    </w:p>
    <w:p>
      <w:pPr>
        <w:ind w:right="4319"/>
        <w:spacing w:after="0" w:line="262" w:lineRule="auto"/>
        <w:rPr>
          <w:sz w:val="20"/>
          <w:szCs w:val="20"/>
          <w:color w:val="auto"/>
        </w:rPr>
      </w:pPr>
      <w:r>
        <w:rPr>
          <w:rFonts w:ascii="Courier New" w:cs="Courier New" w:eastAsia="Courier New" w:hAnsi="Courier New"/>
          <w:sz w:val="18"/>
          <w:szCs w:val="18"/>
          <w:color w:val="auto"/>
        </w:rPr>
        <w:t>INC ("the Company") as a result of acting as investment adviser to various investment companies registered under Section 8 of the Investment Company Act of 1940 (the "SelectCo Funds").</w:t>
      </w:r>
    </w:p>
    <w:p>
      <w:pPr>
        <w:spacing w:after="0" w:line="90" w:lineRule="exact"/>
        <w:rPr>
          <w:sz w:val="20"/>
          <w:szCs w:val="20"/>
          <w:color w:val="auto"/>
        </w:rPr>
      </w:pPr>
    </w:p>
    <w:p>
      <w:pPr>
        <w:ind w:right="4199" w:firstLine="843"/>
        <w:spacing w:after="0" w:line="274" w:lineRule="auto"/>
        <w:rPr>
          <w:sz w:val="20"/>
          <w:szCs w:val="20"/>
          <w:color w:val="auto"/>
        </w:rPr>
      </w:pPr>
      <w:r>
        <w:rPr>
          <w:rFonts w:ascii="Courier New" w:cs="Courier New" w:eastAsia="Courier New" w:hAnsi="Courier New"/>
          <w:sz w:val="18"/>
          <w:szCs w:val="18"/>
          <w:color w:val="auto"/>
        </w:rPr>
        <w:t>Edward C. Johnson 3d and FMR LLC, through its control of SelectCo, and the SelectCo Funds each has sole power to dispose of the 1,157,010 owned by the SelectCo Funds.</w:t>
      </w:r>
    </w:p>
    <w:p>
      <w:pPr>
        <w:spacing w:after="0" w:line="82" w:lineRule="exact"/>
        <w:rPr>
          <w:sz w:val="20"/>
          <w:szCs w:val="20"/>
          <w:color w:val="auto"/>
        </w:rPr>
      </w:pPr>
    </w:p>
    <w:p>
      <w:pPr>
        <w:ind w:right="4099" w:firstLine="843"/>
        <w:spacing w:after="0" w:line="27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3" w:lineRule="exact"/>
        <w:rPr>
          <w:sz w:val="20"/>
          <w:szCs w:val="20"/>
          <w:color w:val="auto"/>
        </w:rPr>
      </w:pPr>
    </w:p>
    <w:p>
      <w:pPr>
        <w:ind w:right="3899"/>
        <w:spacing w:after="0" w:line="24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5"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31"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304"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63" w:lineRule="exact"/>
        <w:rPr>
          <w:sz w:val="20"/>
          <w:szCs w:val="20"/>
          <w:color w:val="auto"/>
        </w:rPr>
      </w:pPr>
    </w:p>
    <w:p>
      <w:pPr>
        <w:ind w:right="3679" w:firstLine="843"/>
        <w:spacing w:after="0" w:line="244" w:lineRule="auto"/>
        <w:rPr>
          <w:sz w:val="20"/>
          <w:szCs w:val="20"/>
          <w:color w:val="auto"/>
        </w:rPr>
      </w:pPr>
      <w:r>
        <w:rPr>
          <w:rFonts w:ascii="Courier New" w:cs="Courier New" w:eastAsia="Courier New" w:hAnsi="Courier New"/>
          <w:sz w:val="18"/>
          <w:szCs w:val="18"/>
          <w:color w:val="auto"/>
        </w:rPr>
        <w:t>Pyramis Global Advisors, LLC ("PGALLC"), 900 Salem Street, Smithfield, Rhode Island, 02917, an indirect wholly-owned subsidiary of FMR LLC and an investment adviser registered under Section 203 of the Investment Advisers Act of 1940, is the beneficial owner of 23,340 shares or 0.071% of the outstanding Common Stock of</w:t>
      </w:r>
    </w:p>
    <w:p>
      <w:pPr>
        <w:spacing w:after="0" w:line="4" w:lineRule="exact"/>
        <w:rPr>
          <w:sz w:val="20"/>
          <w:szCs w:val="20"/>
          <w:color w:val="auto"/>
        </w:rPr>
      </w:pPr>
    </w:p>
    <w:p>
      <w:pPr>
        <w:ind w:right="3779"/>
        <w:spacing w:after="0" w:line="304" w:lineRule="auto"/>
        <w:rPr>
          <w:sz w:val="20"/>
          <w:szCs w:val="20"/>
          <w:color w:val="auto"/>
        </w:rPr>
      </w:pPr>
      <w:r>
        <w:rPr>
          <w:rFonts w:ascii="Courier New" w:cs="Courier New" w:eastAsia="Courier New" w:hAnsi="Courier New"/>
          <w:sz w:val="16"/>
          <w:szCs w:val="16"/>
          <w:color w:val="auto"/>
        </w:rPr>
        <w:t>EXLSERVICE HOLDINGS INC as a result of its serving as investment adviser to institutional accounts, non-U.S. mutual funds, or investment companies registered under Section 8 of the Investment Company Act of 1940 owning such shares.</w:t>
      </w:r>
    </w:p>
    <w:p>
      <w:pPr>
        <w:spacing w:after="0" w:line="63" w:lineRule="exact"/>
        <w:rPr>
          <w:sz w:val="20"/>
          <w:szCs w:val="20"/>
          <w:color w:val="auto"/>
        </w:rPr>
      </w:pPr>
    </w:p>
    <w:p>
      <w:pPr>
        <w:ind w:right="4419" w:firstLine="843"/>
        <w:spacing w:after="0" w:line="289" w:lineRule="auto"/>
        <w:rPr>
          <w:sz w:val="20"/>
          <w:szCs w:val="20"/>
          <w:color w:val="auto"/>
        </w:rPr>
      </w:pPr>
      <w:r>
        <w:rPr>
          <w:rFonts w:ascii="Courier New" w:cs="Courier New" w:eastAsia="Courier New" w:hAnsi="Courier New"/>
          <w:sz w:val="16"/>
          <w:szCs w:val="16"/>
          <w:color w:val="auto"/>
        </w:rPr>
        <w:t>Edward C. Johnson 3d and FMR LLC, through its control of PGALLC, each has sole dispositive power over</w:t>
      </w:r>
    </w:p>
    <w:p>
      <w:pPr>
        <w:spacing w:after="0" w:line="1" w:lineRule="exact"/>
        <w:rPr>
          <w:sz w:val="20"/>
          <w:szCs w:val="20"/>
          <w:color w:val="auto"/>
        </w:rPr>
      </w:pPr>
    </w:p>
    <w:p>
      <w:pPr>
        <w:ind w:right="3579"/>
        <w:spacing w:after="0" w:line="273" w:lineRule="auto"/>
        <w:rPr>
          <w:sz w:val="20"/>
          <w:szCs w:val="20"/>
          <w:color w:val="auto"/>
        </w:rPr>
      </w:pPr>
      <w:r>
        <w:rPr>
          <w:rFonts w:ascii="Courier New" w:cs="Courier New" w:eastAsia="Courier New" w:hAnsi="Courier New"/>
          <w:sz w:val="18"/>
          <w:szCs w:val="18"/>
          <w:color w:val="auto"/>
        </w:rPr>
        <w:t>23,340 shares and sole power to vote or to direct the voting of 23,340 shares of Common Stock owned by the institutional accounts or funds advised by PGALLC as reported above.</w:t>
      </w:r>
    </w:p>
    <w:p>
      <w:pPr>
        <w:spacing w:after="0" w:line="8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31"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900 Salem Street, Smithfield, Rhode Island, 02917, an indirect wholly-owned subsidiary of FMR LLC and a bank as defined</w:t>
      </w:r>
    </w:p>
    <w:p>
      <w:pPr>
        <w:ind w:right="3779"/>
        <w:spacing w:after="0" w:line="238"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1,260,151 shares or 3.826% of the outstanding Common Stock of the EXLSERVICE</w:t>
      </w:r>
    </w:p>
    <w:p>
      <w:pPr>
        <w:spacing w:after="0" w:line="1" w:lineRule="exact"/>
        <w:rPr>
          <w:sz w:val="20"/>
          <w:szCs w:val="20"/>
          <w:color w:val="auto"/>
        </w:rPr>
      </w:pPr>
    </w:p>
    <w:p>
      <w:pPr>
        <w:jc w:val="both"/>
        <w:ind w:right="4619"/>
        <w:spacing w:after="0" w:line="378" w:lineRule="auto"/>
        <w:rPr>
          <w:sz w:val="20"/>
          <w:szCs w:val="20"/>
          <w:color w:val="auto"/>
        </w:rPr>
      </w:pPr>
      <w:r>
        <w:rPr>
          <w:rFonts w:ascii="Courier New" w:cs="Courier New" w:eastAsia="Courier New" w:hAnsi="Courier New"/>
          <w:sz w:val="16"/>
          <w:szCs w:val="16"/>
          <w:color w:val="auto"/>
        </w:rPr>
        <w:t>HOLDINGS INC as a result of its serving as investment manager of institutional accounts owning such shares.</w:t>
      </w:r>
    </w:p>
    <w:p>
      <w:pPr>
        <w:spacing w:after="0" w:line="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 and FMR LLC, through its</w:t>
      </w:r>
    </w:p>
    <w:p>
      <w:pPr>
        <w:sectPr>
          <w:pgSz w:w="11900" w:h="16838" w:orient="portrait"/>
          <w:cols w:equalWidth="0" w:num="1">
            <w:col w:w="10219"/>
          </w:cols>
          <w:pgMar w:left="240" w:top="515" w:right="1440" w:bottom="0" w:gutter="0" w:footer="0" w:header="0"/>
        </w:sectPr>
      </w:pPr>
    </w:p>
    <w:bookmarkStart w:id="3" w:name="page4"/>
    <w:bookmarkEnd w:id="3"/>
    <w:p>
      <w:pPr>
        <w:ind w:right="3779"/>
        <w:spacing w:after="0" w:line="265" w:lineRule="auto"/>
        <w:rPr>
          <w:sz w:val="20"/>
          <w:szCs w:val="20"/>
          <w:color w:val="auto"/>
        </w:rPr>
      </w:pPr>
      <w:r>
        <w:rPr>
          <w:rFonts w:ascii="Courier New" w:cs="Courier New" w:eastAsia="Courier New" w:hAnsi="Courier New"/>
          <w:sz w:val="18"/>
          <w:szCs w:val="18"/>
          <w:color w:val="auto"/>
        </w:rPr>
        <w:t>control of Pyramis Global Advisors Trust Company, each has sole dispositive power over 1,260,151 shares and sole power to vote or to direct the voting of 1,260,151 shares of Common Stock owned by the institutional accounts managed by PGATC as reported above.</w:t>
      </w:r>
    </w:p>
    <w:p>
      <w:pPr>
        <w:spacing w:after="0" w:line="200" w:lineRule="exact"/>
        <w:rPr>
          <w:sz w:val="20"/>
          <w:szCs w:val="20"/>
          <w:color w:val="auto"/>
        </w:rPr>
      </w:pPr>
    </w:p>
    <w:p>
      <w:pPr>
        <w:spacing w:after="0" w:line="29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STATEMENTS</w:t>
      </w:r>
    </w:p>
    <w:p>
      <w:pPr>
        <w:ind w:left="860"/>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169" w:lineRule="exact"/>
        <w:rPr>
          <w:sz w:val="20"/>
          <w:szCs w:val="20"/>
          <w:color w:val="auto"/>
        </w:rPr>
      </w:pPr>
    </w:p>
    <w:p>
      <w:pPr>
        <w:ind w:right="3479" w:firstLine="843"/>
        <w:spacing w:after="0" w:line="265" w:lineRule="auto"/>
        <w:rPr>
          <w:sz w:val="20"/>
          <w:szCs w:val="20"/>
          <w:color w:val="auto"/>
        </w:rPr>
      </w:pPr>
      <w:r>
        <w:rPr>
          <w:rFonts w:ascii="Courier New" w:cs="Courier New" w:eastAsia="Courier New" w:hAnsi="Courier New"/>
          <w:sz w:val="18"/>
          <w:szCs w:val="18"/>
          <w:color w:val="auto"/>
        </w:rPr>
        <w:t>The undersigned persons, on February 13, 2014, agree and consent to the joint filing on their behalf of this Schedule 13G in connection with their beneficial ownership of the Common Stock of EXLSERVICE HOLDINGS INC at December 31, 2013.</w:t>
      </w:r>
    </w:p>
    <w:p>
      <w:pPr>
        <w:spacing w:after="0" w:line="9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Scott C. Goebel</w:t>
      </w:r>
    </w:p>
    <w:p>
      <w:pPr>
        <w:ind w:right="3899" w:firstLine="843"/>
        <w:spacing w:after="0" w:line="273"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8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Scott C. Goebel</w:t>
      </w:r>
    </w:p>
    <w:p>
      <w:pPr>
        <w:ind w:right="3899" w:firstLine="843"/>
        <w:spacing w:after="0" w:line="378"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2019-12-07T07:53:13Z</dcterms:created>
  <dcterms:modified xsi:type="dcterms:W3CDTF">2019-12-07T07:53:13Z</dcterms:modified>
</cp:coreProperties>
</file>