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Exec 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gridSpan w:val="2"/>
          </w:tcPr>
          <w:p>
            <w:pPr>
              <w:jc w:val="right"/>
              <w:ind w:right="158"/>
              <w:spacing w:after="0"/>
              <w:rPr>
                <w:sz w:val="20"/>
                <w:szCs w:val="20"/>
                <w:color w:val="auto"/>
              </w:rPr>
            </w:pPr>
            <w:r>
              <w:rPr>
                <w:rFonts w:ascii="Arial" w:cs="Arial" w:eastAsia="Arial" w:hAnsi="Arial"/>
                <w:sz w:val="18"/>
                <w:szCs w:val="18"/>
                <w:color w:val="0000FF"/>
              </w:rPr>
              <w:t>12/15/2018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4,500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8,396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2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12/15/2018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Arial" w:cs="Arial" w:eastAsia="Arial" w:hAnsi="Arial"/>
                <w:sz w:val="12"/>
                <w:szCs w:val="12"/>
                <w:color w:val="0000FF"/>
                <w:w w:val="81"/>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1,542</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79"/>
              </w:rPr>
              <w:t>$</w:t>
            </w:r>
            <w:r>
              <w:rPr>
                <w:rFonts w:ascii="Arial" w:cs="Arial" w:eastAsia="Arial" w:hAnsi="Arial"/>
                <w:sz w:val="18"/>
                <w:szCs w:val="18"/>
                <w:color w:val="0000FF"/>
                <w:w w:val="79"/>
              </w:rPr>
              <w:t>55</w:t>
            </w:r>
            <w:r>
              <w:rPr>
                <w:rFonts w:ascii="Arial" w:cs="Arial" w:eastAsia="Arial" w:hAnsi="Arial"/>
                <w:sz w:val="22"/>
                <w:szCs w:val="22"/>
                <w:color w:val="008000"/>
                <w:w w:val="79"/>
                <w:vertAlign w:val="superscript"/>
              </w:rPr>
              <w:t>(2)</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6,854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4,500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12/15/2018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4,500</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line="149" w:lineRule="exact"/>
              <w:rPr>
                <w:sz w:val="20"/>
                <w:szCs w:val="20"/>
                <w:color w:val="auto"/>
              </w:rPr>
            </w:pPr>
            <w:r>
              <w:rPr>
                <w:rFonts w:ascii="Arial" w:cs="Arial" w:eastAsia="Arial" w:hAnsi="Arial"/>
                <w:sz w:val="14"/>
                <w:szCs w:val="14"/>
                <w:color w:val="0000FF"/>
                <w:w w:val="96"/>
              </w:rPr>
              <w:t>9,000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on a one-for-one basis.</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December 15,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1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15, 2016, the reporting person was granted 18,000 restricted stock units, vesting in four equal annual installments beginning on the first anniversary of the grant date. Twenty-five percent of the restricted stock units became vested on December 15, 2017, an additional twenty-five percent of the restricted stock units became vested on December 15, 2018, an additional twenty-five percent of the restricted stock units will vest on December 15, 2019, and the remaining balance of twenty-five percent of the restricted stock units will vest on December 15,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Ayyappan is the Company's Senior Vice President, General Counsel and Corporate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12/18/2018</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2019-12-23T22:00:44Z</dcterms:created>
  <dcterms:modified xsi:type="dcterms:W3CDTF">2019-12-23T22:00:44Z</dcterms:modified>
</cp:coreProperties>
</file>