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54"/>
        <w:spacing w:after="0"/>
        <w:rPr>
          <w:sz w:val="20"/>
          <w:szCs w:val="20"/>
          <w:color w:val="auto"/>
        </w:rPr>
      </w:pPr>
      <w:r>
        <w:rPr>
          <w:rFonts w:ascii="Times New Roman" w:cs="Times New Roman" w:eastAsia="Times New Roman" w:hAnsi="Times New Roman"/>
          <w:sz w:val="17"/>
          <w:szCs w:val="17"/>
          <w:color w:val="0000FF"/>
        </w:rPr>
        <w:t>EVP and Head of Analytics</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10/22/2022</w:t>
            </w:r>
            <w:r>
              <w:rPr>
                <w:rFonts w:ascii="Times New Roman" w:cs="Times New Roman" w:eastAsia="Times New Roman" w:hAnsi="Times New Roman"/>
                <w:sz w:val="21"/>
                <w:szCs w:val="21"/>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4,567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54,229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10/22/2022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2,526</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164.16</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par</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4,567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value</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10/22/2022</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4,567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$0.001 per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October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22, 2019, the reporting person was granted 9,133 restricted stock units, fifty percent of the restricted stock units became vested on October 22, 2021, and the remaining balance of fifty percent of the restricted stock units became vested on October 22, 2022.</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10/25/2022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2022-10-25T16:16:58Z</dcterms:created>
  <dcterms:modified xsi:type="dcterms:W3CDTF">2022-10-25T16:16:58Z</dcterms:modified>
</cp:coreProperties>
</file>