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EVP, Head of Insurance &amp; CSO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12/11/2014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0000FF"/>
              </w:rPr>
              <w:t>3,269</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1420" w:type="dxa"/>
            <w:vAlign w:val="bottom"/>
            <w:gridSpan w:val="3"/>
            <w:vMerge w:val="restart"/>
          </w:tcPr>
          <w:p>
            <w:pPr>
              <w:jc w:val="right"/>
              <w:ind w:right="316"/>
              <w:spacing w:after="0"/>
              <w:rPr>
                <w:sz w:val="20"/>
                <w:szCs w:val="20"/>
                <w:color w:val="auto"/>
              </w:rPr>
            </w:pPr>
            <w:r>
              <w:rPr>
                <w:rFonts w:ascii="Arial" w:cs="Arial" w:eastAsia="Arial" w:hAnsi="Arial"/>
                <w:sz w:val="18"/>
                <w:szCs w:val="18"/>
                <w:color w:val="0000FF"/>
              </w:rPr>
              <w:t>16,655</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12/11/2014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72"/>
              <w:spacing w:after="0"/>
              <w:rPr>
                <w:sz w:val="20"/>
                <w:szCs w:val="20"/>
                <w:color w:val="auto"/>
              </w:rPr>
            </w:pPr>
            <w:r>
              <w:rPr>
                <w:rFonts w:ascii="Arial" w:cs="Arial" w:eastAsia="Arial" w:hAnsi="Arial"/>
                <w:sz w:val="18"/>
                <w:szCs w:val="18"/>
                <w:color w:val="0000FF"/>
              </w:rPr>
              <w:t>16,655</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28.4266</w:t>
            </w:r>
            <w:r>
              <w:rPr>
                <w:rFonts w:ascii="Arial" w:cs="Arial" w:eastAsia="Arial" w:hAnsi="Arial"/>
                <w:sz w:val="22"/>
                <w:szCs w:val="22"/>
                <w:color w:val="008000"/>
                <w:w w:val="85"/>
                <w:vertAlign w:val="superscript"/>
              </w:rPr>
              <w:t>(2)</w:t>
            </w:r>
          </w:p>
        </w:tc>
        <w:tc>
          <w:tcPr>
            <w:tcW w:w="500" w:type="dxa"/>
            <w:vAlign w:val="bottom"/>
          </w:tcPr>
          <w:p>
            <w:pPr>
              <w:spacing w:after="0"/>
              <w:rPr>
                <w:sz w:val="22"/>
                <w:szCs w:val="22"/>
                <w:color w:val="auto"/>
              </w:rPr>
            </w:pPr>
          </w:p>
        </w:tc>
        <w:tc>
          <w:tcPr>
            <w:tcW w:w="720" w:type="dxa"/>
            <w:vAlign w:val="bottom"/>
            <w:vMerge w:val="restart"/>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0"/>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3,269</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12/11/2014</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3,269</w:t>
            </w:r>
          </w:p>
        </w:tc>
        <w:tc>
          <w:tcPr>
            <w:tcW w:w="820" w:type="dxa"/>
            <w:vAlign w:val="bottom"/>
            <w:vMerge w:val="continue"/>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0000FF"/>
                <w:w w:val="96"/>
              </w:rPr>
              <w:t>02/10/2019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20" w:type="dxa"/>
            <w:vAlign w:val="bottom"/>
          </w:tcPr>
          <w:p>
            <w:pPr>
              <w:ind w:left="48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11, 2014 the reporting person exercised previously issued options to purchase an aggregate of 3,269 shares of common stock of ExlService Holdings, Inc.</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$28.00 to $28.61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3,269 of these options were fully vested and exercised.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2019-12-18T05:31:13Z</dcterms:created>
  <dcterms:modified xsi:type="dcterms:W3CDTF">2019-12-18T05:31:13Z</dcterms:modified>
</cp:coreProperties>
</file>