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331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3146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BAGAI PAVAN</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04/12/2016</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26"/>
        <w:spacing w:after="0"/>
        <w:rPr>
          <w:sz w:val="20"/>
          <w:szCs w:val="20"/>
          <w:color w:val="auto"/>
        </w:rPr>
      </w:pPr>
      <w:r>
        <w:rPr>
          <w:rFonts w:ascii="Times New Roman" w:cs="Times New Roman" w:eastAsia="Times New Roman" w:hAnsi="Times New Roman"/>
          <w:sz w:val="17"/>
          <w:szCs w:val="17"/>
          <w:color w:val="0000FF"/>
        </w:rPr>
        <w:t>President &amp; COO</w:t>
      </w:r>
    </w:p>
    <w:p>
      <w:pPr>
        <w:spacing w:after="0" w:line="325" w:lineRule="exact"/>
        <w:rPr>
          <w:sz w:val="24"/>
          <w:szCs w:val="24"/>
          <w:color w:val="auto"/>
        </w:rPr>
      </w:pPr>
    </w:p>
    <w:p>
      <w:pPr>
        <w:sectPr>
          <w:pgSz w:w="11900" w:h="16838" w:orient="portrait"/>
          <w:cols w:equalWidth="0" w:num="3">
            <w:col w:w="3360" w:space="720"/>
            <w:col w:w="3254" w:space="720"/>
            <w:col w:w="3466"/>
          </w:cols>
          <w:pgMar w:left="240" w:top="219" w:right="139" w:bottom="144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3"/>
                <w:szCs w:val="13"/>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2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04/12/2016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27,184</w:t>
            </w:r>
          </w:p>
        </w:tc>
        <w:tc>
          <w:tcPr>
            <w:tcW w:w="6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24.77</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129,454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2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04/12/2016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27,184</w:t>
            </w:r>
          </w:p>
        </w:tc>
        <w:tc>
          <w:tcPr>
            <w:tcW w:w="6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51.193</w:t>
            </w:r>
            <w:r>
              <w:rPr>
                <w:rFonts w:ascii="Times New Roman" w:cs="Times New Roman" w:eastAsia="Times New Roman" w:hAnsi="Times New Roman"/>
                <w:sz w:val="22"/>
                <w:szCs w:val="22"/>
                <w:color w:val="008000"/>
                <w:vertAlign w:val="superscript"/>
              </w:rPr>
              <w:t>(3)</w:t>
            </w:r>
          </w:p>
        </w:tc>
        <w:tc>
          <w:tcPr>
            <w:tcW w:w="12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102,270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100" w:type="dxa"/>
            <w:vAlign w:val="bottom"/>
            <w:gridSpan w:val="8"/>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ind w:left="100"/>
              <w:spacing w:after="0" w:line="294"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12"/>
                <w:szCs w:val="12"/>
                <w:color w:val="auto"/>
              </w:rPr>
            </w:pPr>
          </w:p>
        </w:tc>
        <w:tc>
          <w:tcPr>
            <w:tcW w:w="60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27,184</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Options</w:t>
            </w:r>
          </w:p>
        </w:tc>
        <w:tc>
          <w:tcPr>
            <w:tcW w:w="800" w:type="dxa"/>
            <w:vAlign w:val="bottom"/>
          </w:tcPr>
          <w:p>
            <w:pPr>
              <w:ind w:left="22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24.77</w:t>
            </w:r>
          </w:p>
        </w:tc>
        <w:tc>
          <w:tcPr>
            <w:tcW w:w="1080" w:type="dxa"/>
            <w:vAlign w:val="bottom"/>
          </w:tcPr>
          <w:p>
            <w:pPr>
              <w:jc w:val="right"/>
              <w:ind w:right="138"/>
              <w:spacing w:after="0" w:line="147" w:lineRule="exact"/>
              <w:rPr>
                <w:sz w:val="20"/>
                <w:szCs w:val="20"/>
                <w:color w:val="auto"/>
              </w:rPr>
            </w:pPr>
            <w:r>
              <w:rPr>
                <w:rFonts w:ascii="Times New Roman" w:cs="Times New Roman" w:eastAsia="Times New Roman" w:hAnsi="Times New Roman"/>
                <w:sz w:val="13"/>
                <w:szCs w:val="13"/>
                <w:color w:val="0000FF"/>
              </w:rPr>
              <w:t>04/12/2016</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7" w:lineRule="exact"/>
              <w:rPr>
                <w:sz w:val="20"/>
                <w:szCs w:val="20"/>
                <w:color w:val="auto"/>
              </w:rPr>
            </w:pPr>
            <w:r>
              <w:rPr>
                <w:rFonts w:ascii="Times New Roman" w:cs="Times New Roman" w:eastAsia="Times New Roman" w:hAnsi="Times New Roman"/>
                <w:sz w:val="13"/>
                <w:szCs w:val="13"/>
                <w:color w:val="0000FF"/>
              </w:rPr>
              <w:t>27,184</w:t>
            </w:r>
          </w:p>
        </w:tc>
        <w:tc>
          <w:tcPr>
            <w:tcW w:w="800" w:type="dxa"/>
            <w:vAlign w:val="bottom"/>
            <w:vMerge w:val="continue"/>
          </w:tcPr>
          <w:p>
            <w:pPr>
              <w:spacing w:after="0"/>
              <w:rPr>
                <w:sz w:val="12"/>
                <w:szCs w:val="12"/>
                <w:color w:val="auto"/>
              </w:rPr>
            </w:pPr>
          </w:p>
        </w:tc>
        <w:tc>
          <w:tcPr>
            <w:tcW w:w="76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0000FF"/>
              </w:rPr>
              <w:t>02/07/2022</w:t>
            </w:r>
          </w:p>
        </w:tc>
        <w:tc>
          <w:tcPr>
            <w:tcW w:w="6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par value</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ind w:left="380"/>
              <w:spacing w:after="0" w:line="147"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$0.001</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12, 2016 the reporting person exercised previously issued options to purchase an aggregate of 27,184 shares of common stock of ExlService Holdings, Inc.</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made pursuant to a 10b5-1 plan previously entered into by the reporting person.</w:t>
      </w:r>
    </w:p>
    <w:p>
      <w:pPr>
        <w:spacing w:after="0" w:line="51" w:lineRule="exact"/>
        <w:rPr>
          <w:rFonts w:ascii="Times New Roman" w:cs="Times New Roman" w:eastAsia="Times New Roman" w:hAnsi="Times New Roman"/>
          <w:sz w:val="13"/>
          <w:szCs w:val="13"/>
          <w:color w:val="008000"/>
        </w:rPr>
      </w:pPr>
    </w:p>
    <w:p>
      <w:pPr>
        <w:jc w:val="both"/>
        <w:ind w:left="40" w:right="2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$50.72 to $51.57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rFonts w:ascii="Times New Roman" w:cs="Times New Roman" w:eastAsia="Times New Roman" w:hAnsi="Times New Roman"/>
          <w:sz w:val="13"/>
          <w:szCs w:val="13"/>
          <w:color w:val="008000"/>
        </w:rPr>
      </w:pPr>
    </w:p>
    <w:p>
      <w:pPr>
        <w:ind w:left="40" w:right="160" w:firstLine="8"/>
        <w:spacing w:after="0" w:line="273"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7, 2012, the reporting person was granted 32,500 stock options. 10 percent of these options became vested and exercisable on 2/7/2013, an additional 20 percent became vested and exercisable on 2/7/2014, an additional 30 percent became vested and exercisable on 2/7/2015, and the balance of 40 percent became vested and exercisable on February 7, 2016.</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04/14/2016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2019-12-08T02:11:40Z</dcterms:created>
  <dcterms:modified xsi:type="dcterms:W3CDTF">2019-12-08T02:11:40Z</dcterms:modified>
</cp:coreProperties>
</file>