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088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0883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Bhalla Vikas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09/13/2013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EVP &amp; Head of Outsourcing</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ind w:left="560"/>
              <w:spacing w:after="0"/>
              <w:rPr>
                <w:sz w:val="20"/>
                <w:szCs w:val="20"/>
                <w:color w:val="auto"/>
              </w:rPr>
            </w:pPr>
            <w:r>
              <w:rPr>
                <w:rFonts w:ascii="Arial" w:cs="Arial" w:eastAsia="Arial" w:hAnsi="Arial"/>
                <w:sz w:val="18"/>
                <w:szCs w:val="18"/>
                <w:color w:val="0000FF"/>
              </w:rPr>
              <w:t>09/13/2013</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10,371</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28.4439</w:t>
            </w:r>
            <w:r>
              <w:rPr>
                <w:rFonts w:ascii="Arial" w:cs="Arial" w:eastAsia="Arial" w:hAnsi="Arial"/>
                <w:sz w:val="22"/>
                <w:szCs w:val="22"/>
                <w:color w:val="008000"/>
                <w:w w:val="85"/>
                <w:vertAlign w:val="superscript"/>
              </w:rPr>
              <w:t>(2)</w:t>
            </w:r>
          </w:p>
        </w:tc>
        <w:tc>
          <w:tcPr>
            <w:tcW w:w="500" w:type="dxa"/>
            <w:vAlign w:val="bottom"/>
          </w:tcPr>
          <w:p>
            <w:pPr>
              <w:spacing w:after="0"/>
              <w:rPr>
                <w:sz w:val="22"/>
                <w:szCs w:val="22"/>
                <w:color w:val="auto"/>
              </w:rPr>
            </w:pPr>
          </w:p>
        </w:tc>
        <w:tc>
          <w:tcPr>
            <w:tcW w:w="720" w:type="dxa"/>
            <w:vAlign w:val="bottom"/>
            <w:vMerge w:val="restart"/>
          </w:tcPr>
          <w:p>
            <w:pPr>
              <w:jc w:val="center"/>
              <w:ind w:right="454"/>
              <w:spacing w:after="0"/>
              <w:rPr>
                <w:sz w:val="20"/>
                <w:szCs w:val="20"/>
                <w:color w:val="auto"/>
              </w:rPr>
            </w:pPr>
            <w:r>
              <w:rPr>
                <w:rFonts w:ascii="Arial" w:cs="Arial" w:eastAsia="Arial" w:hAnsi="Arial"/>
                <w:sz w:val="18"/>
                <w:szCs w:val="18"/>
                <w:color w:val="0000FF"/>
                <w:w w:val="79"/>
              </w:rPr>
              <w:t>0</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2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ind w:left="560"/>
              <w:spacing w:after="0"/>
              <w:rPr>
                <w:sz w:val="20"/>
                <w:szCs w:val="20"/>
                <w:color w:val="auto"/>
              </w:rPr>
            </w:pPr>
            <w:r>
              <w:rPr>
                <w:rFonts w:ascii="Arial" w:cs="Arial" w:eastAsia="Arial" w:hAnsi="Arial"/>
                <w:sz w:val="18"/>
                <w:szCs w:val="18"/>
                <w:color w:val="0000FF"/>
              </w:rPr>
              <w:t>09/13/2013</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(3)</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4,000</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680" w:type="dxa"/>
            <w:vAlign w:val="bottom"/>
            <w:vMerge w:val="restart"/>
          </w:tcPr>
          <w:p>
            <w:pPr>
              <w:jc w:val="center"/>
              <w:ind w:left="88"/>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8.75</w:t>
            </w:r>
          </w:p>
        </w:tc>
        <w:tc>
          <w:tcPr>
            <w:tcW w:w="1420" w:type="dxa"/>
            <w:vAlign w:val="bottom"/>
            <w:gridSpan w:val="3"/>
            <w:vMerge w:val="restart"/>
          </w:tcPr>
          <w:p>
            <w:pPr>
              <w:jc w:val="center"/>
              <w:ind w:left="115"/>
              <w:spacing w:after="0"/>
              <w:rPr>
                <w:sz w:val="20"/>
                <w:szCs w:val="20"/>
                <w:color w:val="auto"/>
              </w:rPr>
            </w:pPr>
            <w:r>
              <w:rPr>
                <w:rFonts w:ascii="Arial" w:cs="Arial" w:eastAsia="Arial" w:hAnsi="Arial"/>
                <w:sz w:val="18"/>
                <w:szCs w:val="18"/>
                <w:color w:val="0000FF"/>
                <w:w w:val="88"/>
              </w:rPr>
              <w:t>4,000</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2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ind w:left="560"/>
              <w:spacing w:after="0"/>
              <w:rPr>
                <w:sz w:val="20"/>
                <w:szCs w:val="20"/>
                <w:color w:val="auto"/>
              </w:rPr>
            </w:pPr>
            <w:r>
              <w:rPr>
                <w:rFonts w:ascii="Arial" w:cs="Arial" w:eastAsia="Arial" w:hAnsi="Arial"/>
                <w:sz w:val="18"/>
                <w:szCs w:val="18"/>
                <w:color w:val="0000FF"/>
              </w:rPr>
              <w:t>09/13/2013</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4,000</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28.4439</w:t>
            </w:r>
            <w:r>
              <w:rPr>
                <w:rFonts w:ascii="Arial" w:cs="Arial" w:eastAsia="Arial" w:hAnsi="Arial"/>
                <w:sz w:val="22"/>
                <w:szCs w:val="22"/>
                <w:color w:val="008000"/>
                <w:w w:val="85"/>
                <w:vertAlign w:val="superscript"/>
              </w:rPr>
              <w:t>(2)</w:t>
            </w:r>
          </w:p>
        </w:tc>
        <w:tc>
          <w:tcPr>
            <w:tcW w:w="500" w:type="dxa"/>
            <w:vAlign w:val="bottom"/>
          </w:tcPr>
          <w:p>
            <w:pPr>
              <w:spacing w:after="0"/>
              <w:rPr>
                <w:sz w:val="22"/>
                <w:szCs w:val="22"/>
                <w:color w:val="auto"/>
              </w:rPr>
            </w:pPr>
          </w:p>
        </w:tc>
        <w:tc>
          <w:tcPr>
            <w:tcW w:w="720" w:type="dxa"/>
            <w:vAlign w:val="bottom"/>
            <w:vMerge w:val="restart"/>
          </w:tcPr>
          <w:p>
            <w:pPr>
              <w:jc w:val="center"/>
              <w:ind w:right="454"/>
              <w:spacing w:after="0"/>
              <w:rPr>
                <w:sz w:val="20"/>
                <w:szCs w:val="20"/>
                <w:color w:val="auto"/>
              </w:rPr>
            </w:pPr>
            <w:r>
              <w:rPr>
                <w:rFonts w:ascii="Arial" w:cs="Arial" w:eastAsia="Arial" w:hAnsi="Arial"/>
                <w:sz w:val="18"/>
                <w:szCs w:val="18"/>
                <w:color w:val="0000FF"/>
                <w:w w:val="79"/>
              </w:rPr>
              <w:t>0</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920" w:type="dxa"/>
            <w:vAlign w:val="bottom"/>
            <w:tcBorders>
              <w:bottom w:val="single" w:sz="8" w:color="2C2C2C"/>
            </w:tcBorders>
            <w:gridSpan w:val="10"/>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540" w:type="dxa"/>
            <w:vAlign w:val="bottom"/>
            <w:gridSpan w:val="8"/>
          </w:tcPr>
          <w:p>
            <w:pPr>
              <w:ind w:left="6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(3)</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4,000</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8.75</w:t>
            </w:r>
          </w:p>
        </w:tc>
        <w:tc>
          <w:tcPr>
            <w:tcW w:w="1180" w:type="dxa"/>
            <w:vAlign w:val="bottom"/>
          </w:tcPr>
          <w:p>
            <w:pPr>
              <w:ind w:left="260"/>
              <w:spacing w:after="0" w:line="149" w:lineRule="exact"/>
              <w:rPr>
                <w:sz w:val="20"/>
                <w:szCs w:val="20"/>
                <w:color w:val="auto"/>
              </w:rPr>
            </w:pPr>
            <w:r>
              <w:rPr>
                <w:rFonts w:ascii="Arial" w:cs="Arial" w:eastAsia="Arial" w:hAnsi="Arial"/>
                <w:sz w:val="14"/>
                <w:szCs w:val="14"/>
                <w:color w:val="0000FF"/>
              </w:rPr>
              <w:t>09/12/2013</w:t>
            </w:r>
          </w:p>
        </w:tc>
        <w:tc>
          <w:tcPr>
            <w:tcW w:w="1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ind w:left="360"/>
              <w:spacing w:after="0" w:line="149" w:lineRule="exact"/>
              <w:rPr>
                <w:sz w:val="20"/>
                <w:szCs w:val="20"/>
                <w:color w:val="auto"/>
              </w:rPr>
            </w:pPr>
            <w:r>
              <w:rPr>
                <w:rFonts w:ascii="Arial" w:cs="Arial" w:eastAsia="Arial" w:hAnsi="Arial"/>
                <w:sz w:val="14"/>
                <w:szCs w:val="14"/>
                <w:color w:val="0000FF"/>
                <w:w w:val="96"/>
              </w:rPr>
              <w:t>4,000</w:t>
            </w:r>
          </w:p>
        </w:tc>
        <w:tc>
          <w:tcPr>
            <w:tcW w:w="820" w:type="dxa"/>
            <w:vAlign w:val="bottom"/>
          </w:tcPr>
          <w:p>
            <w:pPr>
              <w:ind w:left="120"/>
              <w:spacing w:after="0" w:line="149" w:lineRule="exact"/>
              <w:rPr>
                <w:sz w:val="20"/>
                <w:szCs w:val="20"/>
                <w:color w:val="auto"/>
              </w:rPr>
            </w:pPr>
            <w:r>
              <w:rPr>
                <w:rFonts w:ascii="Arial" w:cs="Arial" w:eastAsia="Arial" w:hAnsi="Arial"/>
                <w:sz w:val="14"/>
                <w:szCs w:val="14"/>
                <w:color w:val="0000FF"/>
                <w:w w:val="96"/>
              </w:rPr>
              <w:t>02/13/2013</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0000FF"/>
                <w:w w:val="85"/>
              </w:rPr>
              <w:t>02/10/2019</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0000FF"/>
                <w:w w:val="83"/>
              </w:rPr>
              <w:t>par value</w:t>
            </w:r>
          </w:p>
        </w:tc>
        <w:tc>
          <w:tcPr>
            <w:tcW w:w="680" w:type="dxa"/>
            <w:vAlign w:val="bottom"/>
            <w:vMerge w:val="continue"/>
          </w:tcPr>
          <w:p>
            <w:pPr>
              <w:spacing w:after="0"/>
              <w:rPr>
                <w:sz w:val="12"/>
                <w:szCs w:val="12"/>
                <w:color w:val="auto"/>
              </w:rPr>
            </w:pPr>
          </w:p>
        </w:tc>
        <w:tc>
          <w:tcPr>
            <w:tcW w:w="70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ind w:left="480"/>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ind w:left="140"/>
              <w:spacing w:after="0" w:line="149" w:lineRule="exact"/>
              <w:rPr>
                <w:sz w:val="20"/>
                <w:szCs w:val="20"/>
                <w:color w:val="auto"/>
              </w:rPr>
            </w:pPr>
            <w:r>
              <w:rPr>
                <w:rFonts w:ascii="Arial" w:cs="Arial" w:eastAsia="Arial" w:hAnsi="Arial"/>
                <w:sz w:val="14"/>
                <w:szCs w:val="14"/>
                <w:color w:val="0000FF"/>
                <w:w w:val="97"/>
              </w:rPr>
              <w:t>$0.001</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w w:val="81"/>
              </w:rPr>
              <w:t>per share</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$28.23 to $28.61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September 13, 2013, the reporting person exercised previously issued options to purchase an aggregate of 4,000 shares of common stock of ExlService Holdings, Inc.</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09/19/2013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2019-12-16T15:30:15Z</dcterms:created>
  <dcterms:modified xsi:type="dcterms:W3CDTF">2019-12-16T15:30:15Z</dcterms:modified>
</cp:coreProperties>
</file>