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80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80200"/>
                    </a:xfrm>
                    <a:prstGeom prst="rect">
                      <a:avLst/>
                    </a:prstGeom>
                    <a:noFill/>
                  </pic:spPr>
                </pic:pic>
              </a:graphicData>
            </a:graphic>
          </wp:anchor>
        </w:drawing>
      </w:r>
    </w:p>
    <w:p>
      <w:pPr>
        <w:spacing w:after="0" w:line="96" w:lineRule="exact"/>
        <w:rPr>
          <w:sz w:val="24"/>
          <w:szCs w:val="24"/>
          <w:color w:val="auto"/>
        </w:rPr>
      </w:pPr>
    </w:p>
    <w:p>
      <w:pPr>
        <w:sectPr>
          <w:pgSz w:w="11900" w:h="1686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6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6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02/21/2020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93"/>
              </w:rPr>
              <w:t>953</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78.2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29"/>
              <w:spacing w:after="0"/>
              <w:rPr>
                <w:sz w:val="20"/>
                <w:szCs w:val="20"/>
                <w:color w:val="auto"/>
              </w:rPr>
            </w:pPr>
            <w:r>
              <w:rPr>
                <w:rFonts w:ascii="Arial" w:cs="Arial" w:eastAsia="Arial" w:hAnsi="Arial"/>
                <w:sz w:val="18"/>
                <w:szCs w:val="18"/>
                <w:color w:val="0000FF"/>
                <w:w w:val="88"/>
              </w:rPr>
              <w:t>1,603</w:t>
            </w:r>
          </w:p>
        </w:tc>
        <w:tc>
          <w:tcPr>
            <w:tcW w:w="700" w:type="dxa"/>
            <w:vAlign w:val="bottom"/>
          </w:tcPr>
          <w:p>
            <w:pPr>
              <w:jc w:val="right"/>
              <w:ind w:right="151"/>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110"/>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1,603</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93"/>
              </w:rPr>
              <w:t>613</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(3)</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4"/>
              <w:spacing w:after="0"/>
              <w:rPr>
                <w:sz w:val="20"/>
                <w:szCs w:val="20"/>
                <w:color w:val="auto"/>
              </w:rPr>
            </w:pPr>
            <w:r>
              <w:rPr>
                <w:rFonts w:ascii="Arial" w:cs="Arial" w:eastAsia="Arial" w:hAnsi="Arial"/>
                <w:sz w:val="18"/>
                <w:szCs w:val="18"/>
                <w:color w:val="0000FF"/>
                <w:w w:val="86"/>
              </w:rPr>
              <w:t>990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29"/>
              <w:spacing w:after="0"/>
              <w:rPr>
                <w:sz w:val="20"/>
                <w:szCs w:val="20"/>
                <w:color w:val="auto"/>
              </w:rPr>
            </w:pPr>
            <w:r>
              <w:rPr>
                <w:rFonts w:ascii="Arial" w:cs="Arial" w:eastAsia="Arial" w:hAnsi="Arial"/>
                <w:sz w:val="18"/>
                <w:szCs w:val="18"/>
                <w:color w:val="0000FF"/>
                <w:w w:val="88"/>
              </w:rPr>
              <w:t>1,787</w:t>
            </w:r>
          </w:p>
        </w:tc>
        <w:tc>
          <w:tcPr>
            <w:tcW w:w="700" w:type="dxa"/>
            <w:vAlign w:val="bottom"/>
          </w:tcPr>
          <w:p>
            <w:pPr>
              <w:jc w:val="right"/>
              <w:ind w:right="151"/>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110"/>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2,777</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93"/>
              </w:rPr>
              <w:t>683</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jc w:val="center"/>
              <w:ind w:right="11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8"/>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9"/>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right"/>
              <w:ind w:right="151"/>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1,603</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02/22/2020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1,603</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00"/>
              <w:spacing w:after="0" w:line="149" w:lineRule="exact"/>
              <w:rPr>
                <w:sz w:val="20"/>
                <w:szCs w:val="20"/>
                <w:color w:val="auto"/>
              </w:rPr>
            </w:pPr>
            <w:r>
              <w:rPr>
                <w:rFonts w:ascii="Arial" w:cs="Arial" w:eastAsia="Arial" w:hAnsi="Arial"/>
                <w:sz w:val="14"/>
                <w:szCs w:val="14"/>
                <w:color w:val="0000FF"/>
                <w:w w:val="96"/>
              </w:rPr>
              <w:t>3,205</w:t>
            </w:r>
          </w:p>
        </w:tc>
        <w:tc>
          <w:tcPr>
            <w:tcW w:w="28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1"/>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tcPr>
          <w:p>
            <w:pPr>
              <w:jc w:val="right"/>
              <w:ind w:right="151"/>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1,787</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02/23/2020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1,787</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00"/>
              <w:spacing w:after="0" w:line="149" w:lineRule="exact"/>
              <w:rPr>
                <w:sz w:val="20"/>
                <w:szCs w:val="20"/>
                <w:color w:val="auto"/>
              </w:rPr>
            </w:pPr>
            <w:r>
              <w:rPr>
                <w:rFonts w:ascii="Arial" w:cs="Arial" w:eastAsia="Arial" w:hAnsi="Arial"/>
                <w:sz w:val="14"/>
                <w:szCs w:val="14"/>
                <w:color w:val="0000FF"/>
                <w:w w:val="96"/>
              </w:rPr>
              <w:t>1,788</w:t>
            </w:r>
          </w:p>
        </w:tc>
        <w:tc>
          <w:tcPr>
            <w:tcW w:w="28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1"/>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2020.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2020.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6,410 restricted stock units, vesting in four annual installments beginning on the first anniversary of the grant date. 25 percent of the restricted stock units became vested on February 22, 2019, an additional 25 percent of the restricted stock units became vested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7,150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became vested on February 23, 2020, and the remaining balance of 25 percent of the restricted stock units will vest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68" w:orient="portrait"/>
          <w:cols w:equalWidth="0" w:num="1">
            <w:col w:w="1152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2020-02-25T19:43:09Z</dcterms:created>
  <dcterms:modified xsi:type="dcterms:W3CDTF">2020-02-25T19:43:09Z</dcterms:modified>
</cp:coreProperties>
</file>