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20548</w:t>
      </w:r>
    </w:p>
    <w:p>
      <w:pPr>
        <w:spacing w:after="0" w:line="1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ectPr>
          <w:pgSz w:w="11900" w:h="16838" w:orient="portrait"/>
          <w:cols w:equalWidth="0" w:num="1">
            <w:col w:w="11320"/>
          </w:cols>
          <w:pgMar w:left="240" w:top="226" w:right="339" w:bottom="1440" w:gutter="0" w:footer="0" w:header="0"/>
        </w:sectPr>
      </w:pP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(Amendment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13" w:lineRule="exact"/>
        <w:rPr>
          <w:sz w:val="24"/>
          <w:szCs w:val="24"/>
          <w:color w:val="auto"/>
        </w:rPr>
      </w:pPr>
    </w:p>
    <w:p>
      <w:pPr>
        <w:sectPr>
          <w:pgSz w:w="11900" w:h="16838" w:orient="portrait"/>
          <w:cols w:equalWidth="0" w:num="2">
            <w:col w:w="6360" w:space="220"/>
            <w:col w:w="4740"/>
          </w:cols>
          <w:pgMar w:left="240" w:top="226" w:right="339"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523" w:lineRule="exact"/>
        <w:rPr>
          <w:sz w:val="24"/>
          <w:szCs w:val="24"/>
          <w:color w:val="auto"/>
        </w:rPr>
      </w:pPr>
    </w:p>
    <w:p>
      <w:pPr>
        <w:sectPr>
          <w:pgSz w:w="11900" w:h="16838" w:orient="portrait"/>
          <w:cols w:equalWidth="0" w:num="2">
            <w:col w:w="2380" w:space="720"/>
            <w:col w:w="8220"/>
          </w:cols>
          <w:pgMar w:left="240" w:top="226" w:right="339" w:bottom="1440" w:gutter="0" w:footer="0" w:header="0"/>
          <w:type w:val="continuous"/>
        </w:sectPr>
      </w:pPr>
    </w:p>
    <w:p>
      <w:pPr>
        <w:spacing w:after="0" w:line="3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6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275"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-3603625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-3200400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-2265680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-1862455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-550545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208280</wp:posOffset>
            </wp:positionV>
            <wp:extent cx="1775460" cy="119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280 Park Avenue, 38</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2, 2011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behalf of the board of directors of ExlService Holdings, Inc., I am pleased to invite you to the 2011 Annual Meeting of Stockholders, which will be held on June 17, 2011, in White Plains, New York.</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Annual Meeting will begin with a report on our operations, followed by discussion and voting on the matters set forth in the accompanying notice of the Annual Meeting and Proxy Statement and discussion on other business matters properly brought before the Annual Meeting.</w:t>
      </w:r>
    </w:p>
    <w:p>
      <w:pPr>
        <w:spacing w:after="0" w:line="12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postage prepaid envelope. Your shares cannot be voted unless you submit your proxy or attend the Annual Meeting in person.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 and management look forward to seeing you at the Annual Meeting.</w:t>
      </w:r>
    </w:p>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118110</wp:posOffset>
            </wp:positionV>
            <wp:extent cx="1646555" cy="848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Vikram Talwar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Chairman</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208280</wp:posOffset>
            </wp:positionV>
            <wp:extent cx="1775460" cy="1191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280 Park Avenue, 38</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2011 ANNUAL MEETING OF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90"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You are cordially invited to the 2011 Annual Meeting of Stockholders of ExlService Holdings, Inc., a Delaware corporation (the “Company”). The Annual Meeting will be held at The Ritz-Carlton, Westchester, Three Renaissance Square, White Plains, New York 10601, on June 17, 2011, at 9:00 AM, Eastern Time, for the purposes of voting on the following matters:</w:t>
      </w:r>
    </w:p>
    <w:p>
      <w:pPr>
        <w:spacing w:after="0" w:line="51"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members of the board of directors of the Company for a term of three years each;</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Ernst &amp; Young LLP as the independent registered public accounting firm of the Company for fiscal year 2011;</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compensation of the named executive officers of the Company;</w:t>
      </w:r>
    </w:p>
    <w:p>
      <w:pPr>
        <w:spacing w:after="0" w:line="90"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how frequently the stockholders should hold a non-binding advisory vote to approve the compensation of the named executive officers of the Company;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Annual Meeting or any adjournment or postponement thereof.</w:t>
      </w:r>
    </w:p>
    <w:p>
      <w:pPr>
        <w:spacing w:after="0" w:line="171"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If you are a stockholder of record at the close of business on May 3, 2011, you are entitled to vote at the Annual Meeting. A list of stockholders as of the record date will be available for examination for any purpose germane to the Annual Meeting, during ordinary business hours, at the Company’s executive offices at 280 Park Avenue, 38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Floor, New York, New York 10017, for a period of 10 days prior to the date of the Annual Meeting and at the Annual Meeting itself.</w:t>
      </w:r>
    </w:p>
    <w:p>
      <w:pPr>
        <w:spacing w:after="0" w:line="9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Whether or not you expect to attend the Annual Meeting in person, the Company encourages you to promptly vote and submit your proxy by completing, signing, dating and returning the enclosed proxy card in the postage prepaid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118110</wp:posOffset>
            </wp:positionV>
            <wp:extent cx="120904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Amit Shashank</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2011</w:t>
      </w:r>
    </w:p>
    <w:p>
      <w:pPr>
        <w:spacing w:after="0" w:line="15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Company’s Annual Report on Form 10-K for fiscal year 2010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5" w:right="2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77"/>
        </w:trPr>
        <w:tc>
          <w:tcPr>
            <w:tcW w:w="1104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47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OUR BOARD OF DIRECTORS</w:t>
              </w:r>
            </w:hyperlink>
          </w:p>
        </w:tc>
        <w:tc>
          <w:tcPr>
            <w:tcW w:w="62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23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11">
              <w:r>
                <w:rPr>
                  <w:rFonts w:ascii="Times New Roman" w:cs="Times New Roman" w:eastAsia="Times New Roman" w:hAnsi="Times New Roman"/>
                  <w:sz w:val="18"/>
                  <w:szCs w:val="18"/>
                  <w:color w:val="0000EE"/>
                  <w:w w:val="96"/>
                </w:rPr>
                <w:t>CORPORATE GOVERNANCE</w:t>
              </w:r>
            </w:hyperlink>
          </w:p>
        </w:tc>
        <w:tc>
          <w:tcPr>
            <w:tcW w:w="20" w:type="dxa"/>
            <w:vAlign w:val="bottom"/>
            <w:tcBorders>
              <w:top w:val="single" w:sz="8" w:color="0000EE"/>
            </w:tcBorders>
          </w:tcPr>
          <w:p>
            <w:pPr>
              <w:spacing w:after="0"/>
              <w:rPr>
                <w:sz w:val="24"/>
                <w:szCs w:val="24"/>
                <w:color w:val="auto"/>
              </w:rPr>
            </w:pPr>
          </w:p>
        </w:tc>
        <w:tc>
          <w:tcPr>
            <w:tcW w:w="87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22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OUR EXECUTIVE OFFICERS</w:t>
              </w:r>
            </w:hyperlink>
          </w:p>
        </w:tc>
        <w:tc>
          <w:tcPr>
            <w:tcW w:w="87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24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EXECUTIVE COMPENSATION</w:t>
              </w:r>
            </w:hyperlink>
          </w:p>
        </w:tc>
        <w:tc>
          <w:tcPr>
            <w:tcW w:w="86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11040" w:type="dxa"/>
            <w:vAlign w:val="bottom"/>
            <w:gridSpan w:val="17"/>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PRINCIPAL STOCKHOLDERS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CERTAIN RELATIONSHIPS AND RELATED PERSON TRANSACTIONS</w:t>
              </w:r>
            </w:hyperlink>
          </w:p>
        </w:tc>
        <w:tc>
          <w:tcPr>
            <w:tcW w:w="55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4"/>
        </w:trPr>
        <w:tc>
          <w:tcPr>
            <w:tcW w:w="11040" w:type="dxa"/>
            <w:vAlign w:val="bottom"/>
            <w:gridSpan w:val="1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REPORT OF THE AUDIT COMMITTEE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1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PROPOSAL 1 ELECTION OF DIRECTORS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9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PROPOSAL 2 RATIFICATION OF THE APPOINTMENT OF INDEPENDENT REGISTERED PUBLIC ACCOUNTING FIRM</w:t>
              </w:r>
            </w:hyperlink>
          </w:p>
        </w:tc>
        <w:tc>
          <w:tcPr>
            <w:tcW w:w="1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4"/>
        </w:trPr>
        <w:tc>
          <w:tcPr>
            <w:tcW w:w="68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PROPOSAL 3 AN ADVISORY (NON-BINDING) VOTE ON EXECUTIVE COMPENSATION</w:t>
              </w:r>
            </w:hyperlink>
          </w:p>
        </w:tc>
        <w:tc>
          <w:tcPr>
            <w:tcW w:w="41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4"/>
        </w:trPr>
        <w:tc>
          <w:tcPr>
            <w:tcW w:w="98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PROPOSAL 4 AN ADVISORY (NON-BINDING) VOTE ON HOW FREQUENTLY STOCKHOLDERS SHOULD VOTE TO APPROVE</w:t>
              </w:r>
            </w:hyperlink>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4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COMPENSATION OF THE NAMED EXECUTIVE OFFICERS</w:t>
              </w:r>
            </w:hyperlink>
          </w:p>
        </w:tc>
        <w:tc>
          <w:tcPr>
            <w:tcW w:w="62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304"/>
        </w:trPr>
        <w:tc>
          <w:tcPr>
            <w:tcW w:w="5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STOCKHOLDER PROPOSALS FOR THE 2012 ANNUAL MEETING</w:t>
              </w:r>
            </w:hyperlink>
          </w:p>
        </w:tc>
        <w:tc>
          <w:tcPr>
            <w:tcW w:w="59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14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MISCELLANEOUS</w:t>
              </w:r>
            </w:hyperlink>
          </w:p>
        </w:tc>
        <w:tc>
          <w:tcPr>
            <w:tcW w:w="95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4"/>
        </w:trPr>
        <w:tc>
          <w:tcPr>
            <w:tcW w:w="11040" w:type="dxa"/>
            <w:vAlign w:val="bottom"/>
            <w:gridSpan w:val="17"/>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OTHER MATTERS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83"/>
        </w:trPr>
        <w:tc>
          <w:tcPr>
            <w:tcW w:w="2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208280</wp:posOffset>
            </wp:positionV>
            <wp:extent cx="1775460" cy="119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280 Park Avenue, 38</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0"/>
          <w:szCs w:val="20"/>
          <w:color w:val="auto"/>
        </w:rPr>
      </w:pPr>
    </w:p>
    <w:p>
      <w:pPr>
        <w:ind w:left="5580" w:hanging="415"/>
        <w:spacing w:after="0"/>
        <w:tabs>
          <w:tab w:leader="none" w:pos="5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277-7100</w:t>
      </w:r>
    </w:p>
    <w:p>
      <w:pPr>
        <w:spacing w:after="0" w:line="264" w:lineRule="exact"/>
        <w:rPr>
          <w:rFonts w:ascii="Times New Roman" w:cs="Times New Roman" w:eastAsia="Times New Roman" w:hAnsi="Times New Roman"/>
          <w:sz w:val="18"/>
          <w:szCs w:val="18"/>
          <w:b w:val="1"/>
          <w:bCs w:val="1"/>
          <w:color w:val="auto"/>
        </w:rPr>
      </w:pPr>
    </w:p>
    <w:p>
      <w:pPr>
        <w:ind w:left="4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you in connection with the solicitation by the board of directors of ExlService Holdings, Inc., a Delaware corporation (“us,” “we,” “our” or the “Company”), of proxies to be used at our 2011 Annual Meeting of Stockholders to be held at The Ritz-Carlton, Westchester, Three Renaissance Square, White Plains, New York 10601, at 9:00 AM, Eastern Time, on June 17, 2011, and any adjournments or postponements thereof. This Proxy Statement and the accompanying form of proxy card are being mailed to stockholders on or about May 3, 2011.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92"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Only stockholders who own shares of our common stock at the close of business on May 3, 2011, the record date for the Annual Meeting, can vote at the Annual Meeting. As of the close of business on April 27, 2011, we had 29,656,839 shares of common stock outstanding and entitled to vote. Each holder of common stock is entitled to one vote for each share held as of the record date for the Annual Meeting. There is no cumulative voting in the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9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118" w:lineRule="exact"/>
        <w:rPr>
          <w:sz w:val="20"/>
          <w:szCs w:val="20"/>
          <w:color w:val="auto"/>
        </w:rPr>
      </w:pPr>
    </w:p>
    <w:p>
      <w:pPr>
        <w:ind w:right="2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Voting at the Annual Meeting</w:t>
      </w:r>
      <w:r>
        <w:rPr>
          <w:rFonts w:ascii="Times New Roman" w:cs="Times New Roman" w:eastAsia="Times New Roman" w:hAnsi="Times New Roman"/>
          <w:sz w:val="18"/>
          <w:szCs w:val="18"/>
          <w:color w:val="auto"/>
        </w:rPr>
        <w:t>. Voting by mail will not limit your right to vote at the Annual Meeting if you decide to attend in person.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455" w:right="2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Annual Meeting;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written notice of revocation to the inspector of elections prior to the Annual Meeting;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executed proxy of a later date to the inspector of elections prior to the Annual Meeting.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Effect of Abstentions and Broker Non-Votes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 quorum, which is a majority of the issued and outstanding shares of our common stock as of May 3, 2011,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more nominees or abstain from voting your shares. For purposes of the vote on Proposal 1, abstentions will have no effect on the results of the vote.</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Proposals</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 ratification of the appointment of our independent registered public accounting firm, the approval of the compensation of our named executive officers, the determination of how frequently the stockholders should hold a non-binding advisory vote to approve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3, 4 or such other item to be acted upon at the Annual Meeting, abstentions will have the effect of a vote against these proposals.</w:t>
      </w:r>
    </w:p>
    <w:p>
      <w:pPr>
        <w:spacing w:after="0" w:line="108"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If you submit your proxy, but do not mark your voting preference, the proxy holders will vote your shares FOR the election of the nominees for director, FOR the ratification of the appointment of our independent registered public accounting firm, FOR the approval of the compensation of our named executive officers and FOR holding a non-binding advisory vote </w:t>
      </w:r>
      <w:r>
        <w:rPr>
          <w:rFonts w:ascii="Times New Roman" w:cs="Times New Roman" w:eastAsia="Times New Roman" w:hAnsi="Times New Roman"/>
          <w:sz w:val="18"/>
          <w:szCs w:val="18"/>
          <w:u w:val="single" w:color="auto"/>
          <w:color w:val="auto"/>
        </w:rPr>
        <w:t>every year</w:t>
      </w:r>
      <w:r>
        <w:rPr>
          <w:rFonts w:ascii="Times New Roman" w:cs="Times New Roman" w:eastAsia="Times New Roman" w:hAnsi="Times New Roman"/>
          <w:sz w:val="18"/>
          <w:szCs w:val="18"/>
          <w:color w:val="auto"/>
        </w:rPr>
        <w:t xml:space="preserve"> to approve the compensation of our executive officers.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to Be Acted Upon at the Meeting</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notice of meeting, proxy statement and form of proxy card are available at our website at http://ir.exlservice.com/proxy.cfm.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90"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Please promptly vote and submit your proxy by completing, signing, dating and returning the enclosed proxy card in the postage prepaid envelope so that your shares can be voted at the Annual Meeting. This will not limit your right to attend or vote at the Annual Meeting.</w:t>
      </w:r>
    </w:p>
    <w:p>
      <w:pPr>
        <w:spacing w:after="0" w:line="114"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you have any further questions about voting your shares or attending the Annual Meeting, please call our Investor Relations Department at (212) 277-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7109.</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73"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currently consists of nine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 Directors (term expiring in 2013):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V. Dardani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Rohit Kapoor, our President and Chief Executive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Kiran Karnik</w:t>
      </w:r>
    </w:p>
    <w:p>
      <w:pPr>
        <w:spacing w:after="0" w:line="118" w:lineRule="exact"/>
        <w:rPr>
          <w:sz w:val="20"/>
          <w:szCs w:val="20"/>
          <w:color w:val="auto"/>
        </w:rPr>
      </w:pPr>
    </w:p>
    <w:p>
      <w:pPr>
        <w:sectPr>
          <w:pgSz w:w="11900" w:h="16838" w:orient="portrait"/>
          <w:cols w:equalWidth="0" w:num="2">
            <w:col w:w="4540" w:space="720"/>
            <w:col w:w="6160"/>
          </w:cols>
          <w:pgMar w:left="240" w:top="455" w:right="239" w:bottom="1440" w:gutter="0" w:footer="0" w:header="0"/>
          <w:type w:val="continuous"/>
        </w:sectPr>
      </w:pPr>
    </w:p>
    <w:p>
      <w:pPr>
        <w:spacing w:after="0"/>
        <w:tabs>
          <w:tab w:leader="none" w:pos="5240" w:val="left"/>
        </w:tabs>
        <w:rPr>
          <w:sz w:val="20"/>
          <w:szCs w:val="20"/>
          <w:color w:val="auto"/>
        </w:rPr>
      </w:pPr>
      <w:r>
        <w:rPr>
          <w:rFonts w:ascii="Times New Roman" w:cs="Times New Roman" w:eastAsia="Times New Roman" w:hAnsi="Times New Roman"/>
          <w:sz w:val="18"/>
          <w:szCs w:val="18"/>
          <w:color w:val="auto"/>
        </w:rPr>
        <w:t>Class II Directors (term expiring in 2011):</w:t>
      </w:r>
      <w:r>
        <w:rPr>
          <w:sz w:val="20"/>
          <w:szCs w:val="20"/>
          <w:color w:val="auto"/>
        </w:rPr>
        <w:tab/>
      </w:r>
      <w:r>
        <w:rPr>
          <w:rFonts w:ascii="Times New Roman" w:cs="Times New Roman" w:eastAsia="Times New Roman" w:hAnsi="Times New Roman"/>
          <w:sz w:val="16"/>
          <w:szCs w:val="16"/>
          <w:color w:val="auto"/>
        </w:rPr>
        <w:t>David B. Kelso</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Clyde W. Ostler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Vikram Talwar, our Chairman</w:t>
      </w:r>
    </w:p>
    <w:p>
      <w:pPr>
        <w:sectPr>
          <w:pgSz w:w="11900" w:h="16838" w:orient="portrait"/>
          <w:cols w:equalWidth="0" w:num="1">
            <w:col w:w="11420"/>
          </w:cols>
          <w:pgMar w:left="240" w:top="455" w:right="2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III Directors (term expiring in 2012):</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Steven B. Gruber, our Lead Director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Mohanbir Sawhney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Garen K. Staglin</w:t>
      </w:r>
    </w:p>
    <w:p>
      <w:pPr>
        <w:spacing w:after="0" w:line="172" w:lineRule="exact"/>
        <w:rPr>
          <w:sz w:val="20"/>
          <w:szCs w:val="20"/>
          <w:color w:val="auto"/>
        </w:rPr>
      </w:pPr>
    </w:p>
    <w:p>
      <w:pPr>
        <w:sectPr>
          <w:pgSz w:w="11900" w:h="16838" w:orient="portrait"/>
          <w:cols w:equalWidth="0" w:num="2">
            <w:col w:w="4540" w:space="720"/>
            <w:col w:w="6160"/>
          </w:cols>
          <w:pgMar w:left="240" w:top="455" w:right="239" w:bottom="1440" w:gutter="0" w:footer="0" w:header="0"/>
          <w:type w:val="continuous"/>
        </w:sectPr>
      </w:pPr>
    </w:p>
    <w:p>
      <w:pPr>
        <w:ind w:right="320" w:firstLine="456"/>
        <w:spacing w:after="0" w:line="339" w:lineRule="auto"/>
        <w:rPr>
          <w:sz w:val="20"/>
          <w:szCs w:val="20"/>
          <w:color w:val="auto"/>
        </w:rPr>
      </w:pPr>
      <w:r>
        <w:rPr>
          <w:rFonts w:ascii="Times New Roman" w:cs="Times New Roman" w:eastAsia="Times New Roman" w:hAnsi="Times New Roman"/>
          <w:sz w:val="16"/>
          <w:szCs w:val="16"/>
          <w:color w:val="auto"/>
        </w:rPr>
        <w:t>The election of our Class II directors will take place at the Annual Meeting. If elected, each of the Class II director nominees will serve on our board of directors until our annual meeting of stockholders in 2014 or until their successors are duly elected and qualified in accordance with our by-laws.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additional information regarding our directors.</w:t>
      </w:r>
    </w:p>
    <w:p>
      <w:pPr>
        <w:spacing w:after="0" w:line="16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Vikram Talwar</w:t>
      </w:r>
      <w:r>
        <w:rPr>
          <w:rFonts w:ascii="Times New Roman" w:cs="Times New Roman" w:eastAsia="Times New Roman" w:hAnsi="Times New Roman"/>
          <w:sz w:val="18"/>
          <w:szCs w:val="18"/>
          <w:color w:val="auto"/>
        </w:rPr>
        <w:t>—Age: 61—co-founded ExlService.com, Inc., our predecessor (“EXL Inc.”), in April 1999 and has served as our Chairman since April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served as our Executive Chairman from May 2008 until April 2011. Mr. Talwar served as Chief Executive Officer and Vice Chairman of our board of directors from November 2002 to April 2008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 In the past five years, Mr. Talwar has served on the boards of directors of several private companies. The Company concluded, based in part on Mr. Talwar’s experience as a founder and past Chief Executive Officer of the Company, that he should serve as a director.</w:t>
      </w:r>
    </w:p>
    <w:p>
      <w:pPr>
        <w:spacing w:after="0" w:line="13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Rohit Kapoor</w:t>
      </w:r>
      <w:r>
        <w:rPr>
          <w:rFonts w:ascii="Times New Roman" w:cs="Times New Roman" w:eastAsia="Times New Roman" w:hAnsi="Times New Roman"/>
          <w:sz w:val="18"/>
          <w:szCs w:val="18"/>
          <w:color w:val="auto"/>
        </w:rPr>
        <w:t>—Age: 46—co-founded EXL Inc. in April 1999 and has served as our President and Chief Executive Officer since May 2008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since November 2002. Mr. Kapoor served as our Chief Financial Officer from November 2002 until June 2005 and from September 2006 to March 2007, as our Chief Operating Officer from June 2007 until April 2008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Inc. on April 7, 2011. The Company concluded that in connection with Mr. Kapoor’s functions and responsibilities as Chief Executive Officer of the Company, he should serve as a director.</w:t>
      </w:r>
    </w:p>
    <w:p>
      <w:pPr>
        <w:spacing w:after="0" w:line="135" w:lineRule="exact"/>
        <w:rPr>
          <w:sz w:val="20"/>
          <w:szCs w:val="20"/>
          <w:color w:val="auto"/>
        </w:rPr>
      </w:pPr>
    </w:p>
    <w:p>
      <w:pPr>
        <w:jc w:val="both"/>
        <w:ind w:right="1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Steven B. Gruber</w:t>
      </w:r>
      <w:r>
        <w:rPr>
          <w:rFonts w:ascii="Times New Roman" w:cs="Times New Roman" w:eastAsia="Times New Roman" w:hAnsi="Times New Roman"/>
          <w:sz w:val="18"/>
          <w:szCs w:val="18"/>
          <w:color w:val="auto"/>
        </w:rPr>
        <w:t>—Age: 53—has served as our Lead Director since May 2008 and served as our Chairman from November 2002 until April 2008.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1999, Mr. Gruber has been a Managing Partner of Oak Hill Capital Management, Inc., the investment advisor to Oak Hill Capital Partners, L.P., one of our 5% stockholders. Mr. Gruber is also a managing partner of Oak Hill Capital Management, LLC. Since April 1990, Mr. Gruber has been a Managing Director of Oak Hill Partners, Inc. (including its predecessor entities) and the Manager of Acadia Partners, L.P. In the past five years, Mr. Gruber has served on the boards of directors of American Skiing Company, Blackboard Inc. and Williams Scotsman International, Inc. The Company concluded, based on Mr. Gruber’s business experience at Oak Hill and as a member of public company boards of directors, that Mr. Gruber should serve as a director.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Edward V. Dardani</w:t>
      </w:r>
      <w:r>
        <w:rPr>
          <w:rFonts w:ascii="Times New Roman" w:cs="Times New Roman" w:eastAsia="Times New Roman" w:hAnsi="Times New Roman"/>
          <w:sz w:val="16"/>
          <w:szCs w:val="16"/>
          <w:color w:val="auto"/>
        </w:rPr>
        <w:t>—Age: 49—has served as a member of our board of directors since April 2005. Mr. Dardani is a Partner of Oak Hill Capital Partners,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L.P., one of our 5% stockholders, which he joined in July 2002, and has been a Principal of Oak Hill Capital Management, LLC since January 2006. Mr. Dardani is responsible for investments in business and financial services sectors. Mr. Dardani began his career at Merrill Lynch in their investment banking group. In the past five years, Mr. Dardani has served on the boards of directors of American Skiing Company and RSC Holdings, Inc. The Company concluded, based in part on Mr. Dardani’s business experience at Oak Hill and as a member of public company boards of directors, that Mr. Dardani should serve as a director.</w:t>
      </w:r>
    </w:p>
    <w:p>
      <w:pPr>
        <w:spacing w:after="0" w:line="10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David B. Kelso</w:t>
      </w:r>
      <w:r>
        <w:rPr>
          <w:rFonts w:ascii="Times New Roman" w:cs="Times New Roman" w:eastAsia="Times New Roman" w:hAnsi="Times New Roman"/>
          <w:sz w:val="18"/>
          <w:szCs w:val="18"/>
          <w:color w:val="auto"/>
        </w:rPr>
        <w:t>—Age: 58—has served as a director since July 2006. Mr. Kelso most recently served as a senior advisor to Inductis, Inc. (“Inductis”)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2004 through June 2006. He served in the Office of the Chairman as Executive Vice President for Strategy and Finance for Aetna, Inc. from September 2001 through September 2003. Mr. Kelso served on the board of directors of Aetna Life Insurance Company from 2001 to 2003. In 2003, Mr. Kelso founded Kelso Advisory Services and serves as its Managing Director. In the past five years, Mr. Kelso has served on the boards of directors of Aspen Holdings, Ltd., Assurant, Inc. and Sound Shore Fund, Inc. The Company concluded, based in part on Mr. Kelso’s business experience with Inductis, his experience with companies in the insurance industry and in general, that Mr. Kelso should serve as a director.</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Clyde W. Ostler</w:t>
      </w:r>
      <w:r>
        <w:rPr>
          <w:rFonts w:ascii="Times New Roman" w:cs="Times New Roman" w:eastAsia="Times New Roman" w:hAnsi="Times New Roman"/>
          <w:sz w:val="18"/>
          <w:szCs w:val="18"/>
          <w:color w:val="auto"/>
        </w:rPr>
        <w:t>—Age: 64—has served as a member of our board of directors since December 2007. Mr. Ostler retired from Wells Fargo &amp; Co.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2011 after forty years. During his tenure with Wells Fargo, Mr. Ostler worked in finance, international banking, technology and investments. His positions included General Auditor, Chief Financial Officer, Head of Branch Banking and Information Technology, Vice Chairman in the Office of the President, Head of Internet Services and Group Executive Vice President of Investments, including President of the Family Wealth Group. Mr. Ostler served on a number of internal boards and several external for profit and not for profit boards. Within the last five years, Mr. Ostler served as a director of Mercury Interactive Corp. The Company concluded, based in part on Mr. Ostler’s business experience through his positions at Wells Fargo &amp; Company, that Mr. Ostler should serve as a director.</w:t>
      </w:r>
    </w:p>
    <w:p>
      <w:pPr>
        <w:spacing w:after="0" w:line="135"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Dr. Mohanbir Sawhney</w:t>
      </w:r>
      <w:r>
        <w:rPr>
          <w:rFonts w:ascii="Times New Roman" w:cs="Times New Roman" w:eastAsia="Times New Roman" w:hAnsi="Times New Roman"/>
          <w:sz w:val="18"/>
          <w:szCs w:val="18"/>
          <w:color w:val="auto"/>
        </w:rPr>
        <w:t>—Age: 47—has served as a member of our board of directors since November 2005. Dr. Sawhney is a recognized author, scholar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consultant on marketing, innovation and technology. He is the McCormick Tribune Foundation Clinical Professor of Technology and the Director of the Center for Research in Technology &amp; Innovation at the Kellogg School of Management, Northwestern University, where he has been on the faculty since September 1993. Dr. Sawhney is also a Fellow of the World Economic Forum. The Company concluded, based in part on Dr. Sawhney’s scholarly and business experience, that Dr. Sawhney should serve as a director.</w:t>
      </w:r>
    </w:p>
    <w:p>
      <w:pPr>
        <w:spacing w:after="0" w:line="1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Garen K. Staglin</w:t>
      </w:r>
      <w:r>
        <w:rPr>
          <w:rFonts w:ascii="Times New Roman" w:cs="Times New Roman" w:eastAsia="Times New Roman" w:hAnsi="Times New Roman"/>
          <w:sz w:val="18"/>
          <w:szCs w:val="18"/>
          <w:color w:val="auto"/>
        </w:rPr>
        <w:t>—Age: 66—has served as a member of our board of directors since June 2005. Mr. Staglin has over 35 years of experience in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technology industries. Mr. Staglin served on the board of directors of First Data Corporation, a credit card and financial services processing company, from 1992 to 2002 and was Chief Executive Officer of eONE Global LP, an emerging payments company, from 2001 to 2004. Mr. Staglin serves as a director on the boards of directors of several private companies. Mr. Staglin has also served as a member of the Advisory Boards of the Cambridge University Business School in the United Kingdom, the Stanford Graduate School of Business and SVB Financial Group. In the past five years, Mr. Staglin has served on the board of directors of Bottomline Technologies, Inc., and on the international board of directors of Solera Holdings, Inc. The Company concluded, based in part on Mr. Staglin’s experience in the financial services and technology industries and his past experience as a member of public company boards of directors, that Mr. Staglin should serve as a director.</w:t>
      </w:r>
    </w:p>
    <w:p>
      <w:pPr>
        <w:spacing w:after="0" w:line="138" w:lineRule="exact"/>
        <w:rPr>
          <w:sz w:val="20"/>
          <w:szCs w:val="20"/>
          <w:color w:val="auto"/>
        </w:rPr>
      </w:pPr>
    </w:p>
    <w:p>
      <w:pPr>
        <w:ind w:right="5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Kiran Karnik</w:t>
      </w:r>
      <w:r>
        <w:rPr>
          <w:rFonts w:ascii="Times New Roman" w:cs="Times New Roman" w:eastAsia="Times New Roman" w:hAnsi="Times New Roman"/>
          <w:sz w:val="18"/>
          <w:szCs w:val="18"/>
          <w:color w:val="auto"/>
        </w:rPr>
        <w:t>—Age: 64—has served as a member of our board of directors since September 2008. From September 2001 through January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Karnik served as President of NASSCOM, an Indian industry body representing companies in the information technology (IT) and IT-enabled services sectors. Prior to his tenure at NASSCOM, Mr. Karnik was the Managing Director at Discovery Networks in India. Earlier, Mr. Karnik was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Founder-Director of the Consortium for Educational Communication. In the past five years, Mr. Karnik has served on the boards of directors of Torrent Pharmaceuticals Ltd., Torrent Power Ltd., Satyam Computer Services Limited and Sasken Communication Technologies Ltd. The Company concluded, based in part on Mr. Karnik’s business experience as President of NASSCOM and knowledge of the outsourcing industry, that Mr. Karnik should serve as a director.</w:t>
      </w:r>
    </w:p>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455"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has determined that all of the members on our board of directors other than Messrs. Talwar and Kapoor meet the independence requirements of the Nasdaq Stock Market and the federal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2010, our board of directors met nine times. Each member of our board of directors attended at least 75% of our board of directors meetings during the period in 2010 in which he served on our board of directors. It is our policy that all of our directors should attend our Annual Meetings of Stockholders absent exceptional cause.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is currently led by Vikram Talwar, our Chairman, and Steven B. Gruber, our Lead Director. Rohit Kapoor, our President and Chief Executive Officer, also serves as a member of our board of directors.</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Our by-laws provide that our Chairman or, in the absence of our Chairman, our Lead Director, or in the absence of both our Chairman and Lead Director, our Chief Executive Officer, shall call meetings of our board of directors to order and shall act as the chairman thereof. In the absence of our Chairman, our Lead Director and our Chief Executive Officer, a majority of our directors present may elect as chairman of the meeting any director present.</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board of directors separated the positions of Chairman and Chief Executive Officer in May 2008 when Mr. Talwar, after serving as Vice Chairman and Chief Executive Officer of the Company from November 2002 to April 2008, became Executive Chairman and Mr. Kapoor was elected as our Chief Executive Officer. At the same time, Mr. Gruber, who served as our Chairman from November 2002 until April 2008, became our Lead Director.</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Separating these positions allows our Chief Executive Officer to focus on spearheading strategy and execution by aligning our resources and key strengths to existing client needs and new market opportunities as well as day-to-day management of the Company, allows our Chairman and our Lead Director to facilitate the functioning of the board of directors independently of our management and to focus on our commitment to corporate governance. Because of the many responsibilities of our board of directors and the significant time and effort required by our Chairman, our Lead Director and our Chief Executive Officer to perform their respective duties, we believe that having separate persons in these roles enhances the ability of each to discharge those duties effectively and, as a corollary, enhances our prospects for success. Our board of directors also believes that having separate positions provides a clear delineation of responsibilities for each position and fosters greater accountability of management.</w:t>
      </w:r>
    </w:p>
    <w:p>
      <w:pPr>
        <w:spacing w:after="0" w:line="14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For the foregoing reasons, our board of directors has determined that its leadership structure is appropriate and in the best interests of our stockholders at this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currently has three standing committees: the Audit Committee, the Nominating and Governance Committee and the Compensation Committee.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oversees and assists our board of directors in fulfilling its oversight responsibilities with respect to:</w:t>
      </w:r>
    </w:p>
    <w:p>
      <w:pPr>
        <w:spacing w:after="0" w:line="94" w:lineRule="exact"/>
        <w:rPr>
          <w:sz w:val="20"/>
          <w:szCs w:val="20"/>
          <w:color w:val="auto"/>
        </w:rPr>
      </w:pPr>
    </w:p>
    <w:p>
      <w:pPr>
        <w:ind w:left="900" w:right="6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our financial statements;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7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are appointed by our board of directors. All members of our Audit Committee must also be recommended by our Nominating and Governance Committee. Messrs. Kelso, Sawhney and Ostler are the current members of our Audit Committee. Mr. Kelso is the chairman of our Audit Committee. Messrs. Kelso and Ostler qualify as audit committee financial experts under the rules of the SEC implementing Section 407 of the Sarbanes-Oxley Act of 2002. Our board of directors has determined that Messrs. Kelso, Sawhney and Ostler meet the independence and the experience requirements for audit committee membership of the Nasdaq Stock Market and the federal securities laws. During 2010, our Audit Committee met nine times. Each member of our Audit Committee attended at least 75% of our Audit Committee’s meetings in 2010.</w:t>
      </w:r>
    </w:p>
    <w:p>
      <w:pPr>
        <w:spacing w:after="0" w:line="135"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Nominating and Governance Committee. </w:t>
      </w:r>
      <w:r>
        <w:rPr>
          <w:rFonts w:ascii="Times New Roman" w:cs="Times New Roman" w:eastAsia="Times New Roman" w:hAnsi="Times New Roman"/>
          <w:sz w:val="16"/>
          <w:szCs w:val="16"/>
          <w:color w:val="auto"/>
        </w:rPr>
        <w:t>Our Nominating and Governance Committee identifies individuals qualified to become members of our board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04"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280 Park Avenue, 38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w:t>
      </w:r>
    </w:p>
    <w:p>
      <w:pPr>
        <w:spacing w:after="0" w:line="3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ethical standards and integrity in personal and professional dealings of the candidate;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of the candidate under legal, regulatory and other applicable standards;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diversity of our existing board of directors, so that we maintain a body of directors from diverse professional and personal backgrounds;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skills and experience of the candidate will complement that of our existing board of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8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dedicate sufficient time, energy and attention to ensure the diligent performance of his or her board of directors’ duties;</w:t>
      </w:r>
    </w:p>
    <w:p>
      <w:pPr>
        <w:spacing w:after="0" w:line="38"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candidate to read and understand fundamental financial statements and understand the use of financial ratios and information in evaluating our financial performance;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candidate to be accountable for his or her decisions as a director;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candidate to provide wise and thoughtful counsel on a broad range of issues;</w:t>
      </w:r>
    </w:p>
    <w:p>
      <w:pPr>
        <w:spacing w:after="0" w:line="90"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interact with other directors in a manner that encourages responsible, open, challenging and inspired discussion;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a history of achievements that reflects high standards;</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be committed to, and enthusiastic about, his or her performance for us as a director, both in absolute terms and relative to his or her peers;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possesses the courage to express views openly, even in the face of opposition;</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comply with the duties and responsibilities set forth in our Corporate Governance Guidelines and by-laws;</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the candidate to adhere to our Code of Conduct and Ethics, including, but not limited to, the policies on conflicts of interest expressed therein;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attributes of the candidate and external factors as our board of directors deems appropriate.</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Nominating and Governance Committee reviews written and oral information provided by and about candidates and considers any additional criteria it feels are appropriate to ensure that all director nominees possess appropriate skills and experience to serve as a member of our board of directors.</w:t>
      </w:r>
    </w:p>
    <w:p>
      <w:pPr>
        <w:spacing w:after="0" w:line="12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members of our Nominating and Governance Committee are appointed by our board of directors. During 2010, our Nominating and Governance Committee met three times. Each member of our Nominating and Governance Committee attended at least 75% of our Audit Committee’s meetings in 2010. Messrs. Dardani, Kelso, Sawhney, Staglin and Talwar are the current members of our Nominating and Governance Committee. Mr. Staglin is the chairman of our Nominating and Governance Committee. Our board of directors has determined that Messrs. Dardani, Kelso, Sawhney and Staglin meet the independence requirements of the Nasdaq Stock Market and the federal securities laws.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reviews and recommends policies relating to compensation and benefits of our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employees and is responsible for approving the compensation of our Chief Executive Officer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Chief Executive Officer or other senior executive compensation and to carry out its duties. During 2010, our Compensation Committee did not retain any such advisors, consultants or other professionals. Our Compensation Committee’s report included in this proxy statement is on page 25. Additional information regarding our Compensation Committee’s processes and procedures for consideration for executive compensation are addressed in the Compensation Discussion and Analysis below. A copy of our Compensation Committee charter can be found on our website at www.exlservice.com.</w:t>
      </w:r>
    </w:p>
    <w:p>
      <w:pPr>
        <w:spacing w:after="0" w:line="14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Gruber, Karnik, Ostler and Staglin are the current members of our Compensation Committee. Mr. Gruber is the chairman of our Compensation Committee. Our board of directors has determined that Messrs. Gruber, Karnik, Ostler and Staglin meet the independence requirements of the Nasdaq Stock Market and the federal securities laws. During 2010, our Compensation Committee met six times. Except for Mr. Karnik, each member of our Compensation Committee attended at least 75% of our Compensation Committee meetings in 2010.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92" w:lineRule="exact"/>
        <w:rPr>
          <w:sz w:val="20"/>
          <w:szCs w:val="20"/>
          <w:color w:val="auto"/>
        </w:rPr>
      </w:pPr>
    </w:p>
    <w:p>
      <w:pPr>
        <w:ind w:right="180" w:firstLine="456"/>
        <w:spacing w:after="0" w:line="310" w:lineRule="auto"/>
        <w:rPr>
          <w:sz w:val="20"/>
          <w:szCs w:val="20"/>
          <w:color w:val="auto"/>
        </w:rPr>
      </w:pPr>
      <w:r>
        <w:rPr>
          <w:rFonts w:ascii="Times New Roman" w:cs="Times New Roman" w:eastAsia="Times New Roman" w:hAnsi="Times New Roman"/>
          <w:sz w:val="16"/>
          <w:szCs w:val="16"/>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9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The Audit Committee regularly reviews and discusses with management our major financial risk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Messrs. Gruber, Karnik, Ostler and Staglin are the members of our Compensation Committee.</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During 2010, none of our executive officers served as a member of the board of directors or compensation committee of any entity that has one or more executive officers who serve on our board of directors or Compensation Committee.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 Corporate Governance Guidelines</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SEC rules, our board of directors has adopted a Code of Conduct and Ethics that is applicable to our directors, officers and employees and which outlines the high ethical standards that we support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and details how our directors, officers and employees should conduct themselves when dealing with fellow employees, client, suppliers, competitors and the general public. A copy of our Code of Conduct and Ethics can be found on our website at www.exlservice.com.</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interested in contacting our board of directors, our Chairman or any individual director are invited to do so by writing to:</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of ExlService Holdings, Inc.</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280 Park Avenue, 38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other stockholder communications addressed to our board of directors will be referred to our Chairman and tracked by our Corporate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communications specifically addressed to a particular director will be referred to that director.</w:t>
      </w:r>
    </w:p>
    <w:p>
      <w:pPr>
        <w:spacing w:after="0" w:line="15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280 Park Avenue, 38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a periodic summary report of all such communications for our Audit Committee.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w:t>
      </w:r>
    </w:p>
    <w:p>
      <w:pPr>
        <w:spacing w:after="0" w:line="13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Based solely on our review of the copies of such forms we have received, we believe that, except as set forth in the following sentence, all of our officers, directors and greater than 10% stockholders complied with all Section 16(a) filing requirements applicable to them with respect to transactions during fiscal year 2010. Due to an error by Mr. Nacha’s broker, Mr. Nacha filed one late report regarding one transaction.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OUR EXECUTIVE OFFICERS</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table below sets forth information regarding our executive officers.</w:t>
            </w:r>
          </w:p>
        </w:tc>
        <w:tc>
          <w:tcPr>
            <w:tcW w:w="0" w:type="dxa"/>
            <w:vAlign w:val="bottom"/>
          </w:tcPr>
          <w:p>
            <w:pPr>
              <w:spacing w:after="0"/>
              <w:rPr>
                <w:sz w:val="1"/>
                <w:szCs w:val="1"/>
                <w:color w:val="auto"/>
              </w:rPr>
            </w:pPr>
          </w:p>
        </w:tc>
      </w:tr>
      <w:tr>
        <w:trPr>
          <w:trHeight w:val="353"/>
        </w:trPr>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90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Director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9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Chief Operating Officer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Vikas Bhalla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Head of Outsourcing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A. Bloom</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of Global Client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Vishal Chhibbar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Financial Officer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Gupta</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Global Head of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Nacha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Sales and Marketing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General Counsel, Chief Compliance Officer and Corporate Secretary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Global Head of Client Management and Chief Strategy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Biographical information for Rohit Kapoor can be found in “Our Board of Directors” above.</w:t>
      </w:r>
    </w:p>
    <w:p>
      <w:pPr>
        <w:spacing w:after="0" w:line="169"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Pavan Bagai</w:t>
      </w:r>
      <w:r>
        <w:rPr>
          <w:rFonts w:ascii="Times New Roman" w:cs="Times New Roman" w:eastAsia="Times New Roman" w:hAnsi="Times New Roman"/>
          <w:sz w:val="18"/>
          <w:szCs w:val="18"/>
          <w:color w:val="auto"/>
        </w:rPr>
        <w:t>—Age: 49—has served as our Chief Operating Officer since May 2008 and served as Vice President, Head of Outsourcing Services of EXL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 from June 2006 until April 2008.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at Bank of America beginning in 1985 in various markets across Asia and Europe, including India.</w:t>
      </w:r>
    </w:p>
    <w:p>
      <w:pPr>
        <w:spacing w:after="0" w:line="1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Vikas Bhalla</w:t>
      </w:r>
      <w:r>
        <w:rPr>
          <w:rFonts w:ascii="Times New Roman" w:cs="Times New Roman" w:eastAsia="Times New Roman" w:hAnsi="Times New Roman"/>
          <w:sz w:val="18"/>
          <w:szCs w:val="18"/>
          <w:color w:val="auto"/>
        </w:rPr>
        <w:t>—Age: 39—has served as our Head of Outsourcing since November 2009 and served as Vice President, Operations of EXL India from</w:t>
      </w:r>
    </w:p>
    <w:p>
      <w:pPr>
        <w:spacing w:after="0" w:line="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June 2006 to October 2009. He previously served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36"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William A. Bloom</w:t>
      </w:r>
      <w:r>
        <w:rPr>
          <w:rFonts w:ascii="Times New Roman" w:cs="Times New Roman" w:eastAsia="Times New Roman" w:hAnsi="Times New Roman"/>
          <w:sz w:val="18"/>
          <w:szCs w:val="18"/>
          <w:color w:val="auto"/>
        </w:rPr>
        <w:t>—Age: 47—has served as our Executive Vice President of Global Client Services since July 2010. Prior to joining us, Mr. Bloom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of Insurance Operations and Technology at Travelers from July 2003 to July 2010. Prior to joining Travelers, Mr. Bloom was a Partner at Accenture and a Vice President at Hartford Life Insurance.</w:t>
      </w:r>
    </w:p>
    <w:p>
      <w:pPr>
        <w:spacing w:after="0" w:line="127"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Vishal Chhibbar</w:t>
      </w:r>
      <w:r>
        <w:rPr>
          <w:rFonts w:ascii="Times New Roman" w:cs="Times New Roman" w:eastAsia="Times New Roman" w:hAnsi="Times New Roman"/>
          <w:sz w:val="18"/>
          <w:szCs w:val="18"/>
          <w:color w:val="auto"/>
        </w:rPr>
        <w:t>—Age: 43—has served as both our and EXL India’s Chief Financial Officer since June 2009. He has over 22 years of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finance. Prior to joining us, Mr. Chhibbar was with GE Capital in various leadership roles. Since 2005, Mr. Chhibbar has served as the 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Prior to GE Capital, Mr. Chhibbar has worked for American Express Bank and Xerox in India. Mr. Chhibbar is a chartered accountant and an associate member of CPA, Australia.</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Sanjay Gupta</w:t>
      </w:r>
      <w:r>
        <w:rPr>
          <w:rFonts w:ascii="Times New Roman" w:cs="Times New Roman" w:eastAsia="Times New Roman" w:hAnsi="Times New Roman"/>
          <w:sz w:val="16"/>
          <w:szCs w:val="16"/>
          <w:color w:val="auto"/>
        </w:rPr>
        <w:t>—Age: 51—has served as our Global Head of Human Resources since May 2010. Mr. Gupta previously served as our Vice President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Human Resources for Outsourcing from December 2006 to April 2010 and as our Vice President of Operations from November 2000 to November 2006. Mr. Gupta served in various capacities at American Express India from May 1995 to October 2000. Mr. Gupta is a chartered accountant.</w:t>
      </w:r>
    </w:p>
    <w:p>
      <w:pPr>
        <w:spacing w:after="0" w:line="93" w:lineRule="exact"/>
        <w:rPr>
          <w:sz w:val="20"/>
          <w:szCs w:val="20"/>
          <w:color w:val="auto"/>
        </w:rPr>
      </w:pPr>
    </w:p>
    <w:p>
      <w:pPr>
        <w:jc w:val="both"/>
        <w:ind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Krishna Nacha</w:t>
      </w:r>
      <w:r>
        <w:rPr>
          <w:rFonts w:ascii="Times New Roman" w:cs="Times New Roman" w:eastAsia="Times New Roman" w:hAnsi="Times New Roman"/>
          <w:sz w:val="16"/>
          <w:szCs w:val="16"/>
          <w:color w:val="auto"/>
        </w:rPr>
        <w:t>—Age: 41—has served as our Chief Sales and Marketing Officer since August 2007. Prior to joining us, Mr. Nacha served as Vice President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Regional Manager at iGate Global Solutions from January 2004 to August 2007 and in various sales roles at Infosys Technologies Ltd. from September 1999 through December 2003. Prior to this, he spent six years in various sales, marketing and product management roles in the consumer packaged goods industry.</w:t>
      </w:r>
    </w:p>
    <w:p>
      <w:pPr>
        <w:spacing w:after="0" w:line="93" w:lineRule="exact"/>
        <w:rPr>
          <w:sz w:val="20"/>
          <w:szCs w:val="20"/>
          <w:color w:val="auto"/>
        </w:rPr>
      </w:pPr>
    </w:p>
    <w:p>
      <w:pPr>
        <w:ind w:right="3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Amit Shashank</w:t>
      </w:r>
      <w:r>
        <w:rPr>
          <w:rFonts w:ascii="Times New Roman" w:cs="Times New Roman" w:eastAsia="Times New Roman" w:hAnsi="Times New Roman"/>
          <w:sz w:val="18"/>
          <w:szCs w:val="18"/>
          <w:color w:val="auto"/>
        </w:rPr>
        <w:t>—Age: 41—has served as our General Counsel since June 2004 and as our Chief Compliance Officer since January 2010. Mr. Shashank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serves as Corporate Secretary of the Company. Prior to joining us, Mr. Shashank was an attorney with the law firm of Shearman &amp; Sterling LLP from January 1997 until June 2004.</w:t>
      </w:r>
    </w:p>
    <w:p>
      <w:pPr>
        <w:spacing w:after="0" w:line="127" w:lineRule="exact"/>
        <w:rPr>
          <w:sz w:val="20"/>
          <w:szCs w:val="20"/>
          <w:color w:val="auto"/>
        </w:rPr>
      </w:pPr>
    </w:p>
    <w:p>
      <w:pPr>
        <w:ind w:right="8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Rembert de Villa</w:t>
      </w:r>
      <w:r>
        <w:rPr>
          <w:rFonts w:ascii="Times New Roman" w:cs="Times New Roman" w:eastAsia="Times New Roman" w:hAnsi="Times New Roman"/>
          <w:sz w:val="16"/>
          <w:szCs w:val="16"/>
          <w:color w:val="auto"/>
        </w:rPr>
        <w:t>—Age: 54—has served as our Global Head of Client Management and Chief Strategy Officer since September 2010 and served as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Managing Principal and Head of Transformation Services from April 2008 to August 2010. Prior to joining us, Mr. de Villa served as Global Practice Leader, Strategic Services at MasterCard Advisors from December 2005 through April 2008 and as Vice President and Financial Services Practice Leader for North America at Capgemini Ernst &amp; Young from March 2003 to December 2005. Prior to this, he was a Partner at A.T. Kearney’s Global Financial Institutions Group.</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believe that the long-term success of companies that provide outsourcing and transformation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accountability, innovation, excellence, urgency, integrity and mutual respect. We believe that our executive compensation programs are integral to achieving this end.</w:t>
      </w:r>
    </w:p>
    <w:p>
      <w:pPr>
        <w:spacing w:after="0" w:line="139" w:lineRule="exact"/>
        <w:rPr>
          <w:sz w:val="20"/>
          <w:szCs w:val="20"/>
          <w:color w:val="auto"/>
        </w:rPr>
      </w:pPr>
    </w:p>
    <w:p>
      <w:pPr>
        <w:ind w:right="860" w:firstLine="456"/>
        <w:spacing w:after="0" w:line="275" w:lineRule="auto"/>
        <w:rPr>
          <w:sz w:val="20"/>
          <w:szCs w:val="20"/>
          <w:color w:val="auto"/>
        </w:rPr>
      </w:pPr>
      <w:r>
        <w:rPr>
          <w:rFonts w:ascii="Times New Roman" w:cs="Times New Roman" w:eastAsia="Times New Roman" w:hAnsi="Times New Roman"/>
          <w:sz w:val="18"/>
          <w:szCs w:val="18"/>
          <w:color w:val="auto"/>
        </w:rPr>
        <w:t>Our Compensation Committee bases its executive compensation programs on the following objectives, which guide us in establishing all of our compensation programs:</w:t>
      </w:r>
    </w:p>
    <w:p>
      <w:pPr>
        <w:spacing w:after="0" w:line="37" w:lineRule="exact"/>
        <w:rPr>
          <w:sz w:val="20"/>
          <w:szCs w:val="20"/>
          <w:color w:val="auto"/>
        </w:rPr>
      </w:pPr>
    </w:p>
    <w:p>
      <w:pPr>
        <w:ind w:left="900" w:hanging="325"/>
        <w:spacing w:after="0" w:line="25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should be based on the level of job responsibility, individual performance and our performance. </w:t>
      </w:r>
      <w:r>
        <w:rPr>
          <w:rFonts w:ascii="Times New Roman" w:cs="Times New Roman" w:eastAsia="Times New Roman" w:hAnsi="Times New Roman"/>
          <w:sz w:val="18"/>
          <w:szCs w:val="18"/>
          <w:color w:val="auto"/>
        </w:rPr>
        <w:t>As employees progress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54" w:lineRule="exact"/>
        <w:rPr>
          <w:rFonts w:ascii="Times New Roman" w:cs="Times New Roman" w:eastAsia="Times New Roman" w:hAnsi="Times New Roman"/>
          <w:sz w:val="18"/>
          <w:szCs w:val="18"/>
          <w:color w:val="auto"/>
        </w:rPr>
      </w:pPr>
    </w:p>
    <w:p>
      <w:pPr>
        <w:ind w:left="900" w:right="60" w:hanging="325"/>
        <w:spacing w:after="0" w:line="259"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should balance long-term focus that is linked to stockholder value and short-term financial objectives</w:t>
      </w:r>
      <w:r>
        <w:rPr>
          <w:rFonts w:ascii="Times New Roman" w:cs="Times New Roman" w:eastAsia="Times New Roman" w:hAnsi="Times New Roman"/>
          <w:sz w:val="18"/>
          <w:szCs w:val="18"/>
          <w:color w:val="auto"/>
        </w:rPr>
        <w:t>. Consistent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philosophy, equity-based compensation should be higher for 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51" w:lineRule="exact"/>
        <w:rPr>
          <w:rFonts w:ascii="Times New Roman" w:cs="Times New Roman" w:eastAsia="Times New Roman" w:hAnsi="Times New Roman"/>
          <w:sz w:val="18"/>
          <w:szCs w:val="18"/>
          <w:color w:val="auto"/>
        </w:rPr>
      </w:pPr>
    </w:p>
    <w:p>
      <w:pPr>
        <w:ind w:left="900" w:right="340" w:hanging="325"/>
        <w:spacing w:after="0" w:line="27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should reflect the value of the job in the marketplace</w:t>
      </w:r>
      <w:r>
        <w:rPr>
          <w:rFonts w:ascii="Times New Roman" w:cs="Times New Roman" w:eastAsia="Times New Roman" w:hAnsi="Times New Roman"/>
          <w:sz w:val="18"/>
          <w:szCs w:val="18"/>
          <w:color w:val="auto"/>
        </w:rPr>
        <w:t>. We compete for talent globally. In order to attract and retain a highly skilled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force, we must remain competitive with the pay of other employers who compete with us for talent in the relevant markets.</w:t>
      </w:r>
    </w:p>
    <w:p>
      <w:pPr>
        <w:spacing w:after="0" w:line="35" w:lineRule="exact"/>
        <w:rPr>
          <w:rFonts w:ascii="Times New Roman" w:cs="Times New Roman" w:eastAsia="Times New Roman" w:hAnsi="Times New Roman"/>
          <w:sz w:val="18"/>
          <w:szCs w:val="18"/>
          <w:color w:val="auto"/>
        </w:rPr>
      </w:pPr>
    </w:p>
    <w:p>
      <w:pPr>
        <w:ind w:left="900" w:right="80" w:hanging="325"/>
        <w:spacing w:after="0" w:line="25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programs should be easy to understand</w:t>
      </w:r>
      <w:r>
        <w:rPr>
          <w:rFonts w:ascii="Times New Roman" w:cs="Times New Roman" w:eastAsia="Times New Roman" w:hAnsi="Times New Roman"/>
          <w:sz w:val="18"/>
          <w:szCs w:val="18"/>
          <w:color w:val="auto"/>
        </w:rPr>
        <w:t>. We believe that all aspects of executive compensation should be clearly, comprehensibly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financial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Named Executive Officers</w:t>
      </w:r>
    </w:p>
    <w:p>
      <w:pPr>
        <w:spacing w:after="0" w:line="9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named executive officers in 2010 were Vikram Talwar, our Executive Chairman until March 31, 2011 and present Chairman, Rohit Kapoor, our President and Chief Executive Officer, Vishal Chhibbar, our Chief Financial Officer, William A. Bloom, our Executive Vice President and Head of Global Client Services since July 12, 2010, Pavan Bagai, our Chief Operating Officer and Rembert de Villa, our Global Head of Client Management and former Head of Transformation. We have included six named executive officers in the Summary Compensation Table. We thought it better disclosure to disclose both Mr. Bagai and Mr. de Villa. Their total compensation is close in amount, and Mr. Bagai’s total compensation in dollars is dependent on the variations in a foreign currency exchange rate. Given the small difference in total compensation, we thought it better disclosure to make sure the compensation of our Chief Operating Officer was also disclosed.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highlights the Compensation Committee’s key compensation decisions in 2010.</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Targets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2010, we exceeded our financial performance targets. We achieved revenues of $252.8 million, which represented 105.3% of our revenues target, from annuity accounts established during 2010 (“New Account Revenues”) of $10.4 million, which represented 104.3% of our New Account Revenues target and earnings before interest and taxes, adjusted to exclude the effect of expenses associated with stock compensation, the amortization of intangibles, and foreign exchange gains and losses (“Adjusted EBIT”) of $41.1 million, which represented 108.8% of our Adjusted EBIT target. We believe that our success in meeting all of our company-wide performance targets was due in part to the efforts of our named executive officers, and we believe that the integrated compensation program we have in place for our named executive officers helped to motivate them to lead us to this achievement.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Effective March 16, 2010, we amended Mr. Kapoor’s employment agreement to increase Mr. Kapoor’s annual base salary to $500,000, extend the term of his employment to December 31, 2012, and increase the amount we will pay for the lease of an automobile for Mr. Kapoor to $1,400 per month. Effective June 2, 2010, we amended Mr. Talwar’s employment agreement to clarify the notice requirements in connection with the renewal or expiration of his term of employment with us and the scope of our tax equalization obligations. Effective April 1, 2011, Mr. Talwar became our non-executive Chairman.</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2010, we implemented base salary increases for certain of our named executive officers on a sixteen and a half month cycle. On November 1, 2010, Mr. Bagai’s total annual fixed compensation was increased from $335,495 to $369,045 and Mr. Chhibbar’s total annual fixed compensation was increased from $307,537 to $324,312. For our executives in India, total annual fixed compensation includes basic salary, and amounts available as a supplementary allowance, a leave travel allowance, a housing allowance, retirement benefits, an automobile allowance and a medical allowance. On April 1, 2010, Mr. de Villa’s annual base salary was increased from $350,000 to $362,950.</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2010, we modified the performance goals in connection with our bonus program, introduced New Account Revenues as a financial performance measure, modified the cash incentive bonus program for our senior executives and granted bonus awards under our annual bonus program. We granted restricted stock units to named executive officers in 2010.</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Our Compensation Committee’s Processes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Compensation Committee has established a number of processes to assist it in ensuring that our executive compensation programs are achieving their objectives. Among those are the following:</w:t>
      </w:r>
    </w:p>
    <w:p>
      <w:pPr>
        <w:spacing w:after="0" w:line="37" w:lineRule="exact"/>
        <w:rPr>
          <w:sz w:val="20"/>
          <w:szCs w:val="20"/>
          <w:color w:val="auto"/>
        </w:rPr>
      </w:pPr>
    </w:p>
    <w:p>
      <w:pPr>
        <w:ind w:left="900" w:right="100" w:hanging="325"/>
        <w:spacing w:after="0" w:line="25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Assessment of Company Performance</w:t>
      </w:r>
      <w:r>
        <w:rPr>
          <w:rFonts w:ascii="Times New Roman" w:cs="Times New Roman" w:eastAsia="Times New Roman" w:hAnsi="Times New Roman"/>
          <w:sz w:val="18"/>
          <w:szCs w:val="18"/>
          <w:color w:val="auto"/>
        </w:rPr>
        <w:t>. Our Compensation Committee uses financial performance measures to determine a significant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size of payouts under our bonus program. While our revenues and Adjusted EBIT targets have historically been chosen to focus employees on improving both top-line revenues and bottom-line earnings, our Compensation Committee’s introduction of a New Account Revenues target in 2010 was intended to focus employees on successfully establishing new strategic client relationships that are likely to make meaningful contributions to our future financial performance. Our performance measures are established by our Compensation Committee annually at the beginning of the year and are applied uniformly across the company.</w:t>
      </w:r>
    </w:p>
    <w:p>
      <w:pPr>
        <w:spacing w:after="0" w:line="60" w:lineRule="exact"/>
        <w:rPr>
          <w:sz w:val="20"/>
          <w:szCs w:val="20"/>
          <w:color w:val="auto"/>
        </w:rPr>
      </w:pPr>
    </w:p>
    <w:p>
      <w:pPr>
        <w:ind w:left="920" w:right="420"/>
        <w:spacing w:after="0" w:line="275" w:lineRule="auto"/>
        <w:rPr>
          <w:sz w:val="20"/>
          <w:szCs w:val="20"/>
          <w:color w:val="auto"/>
        </w:rPr>
      </w:pPr>
      <w:r>
        <w:rPr>
          <w:rFonts w:ascii="Times New Roman" w:cs="Times New Roman" w:eastAsia="Times New Roman" w:hAnsi="Times New Roman"/>
          <w:sz w:val="18"/>
          <w:szCs w:val="18"/>
          <w:color w:val="auto"/>
        </w:rPr>
        <w:t>Our Compensation Committee established 2010 financial performance measures for us based on a weighting of 25% on revenues, 25% on New Account Revenues and 50% on Adjusted EBIT.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40"/>
        <w:spacing w:after="0" w:line="256" w:lineRule="auto"/>
        <w:rPr>
          <w:sz w:val="20"/>
          <w:szCs w:val="20"/>
          <w:color w:val="auto"/>
        </w:rPr>
      </w:pPr>
      <w:r>
        <w:rPr>
          <w:rFonts w:ascii="Times New Roman" w:cs="Times New Roman" w:eastAsia="Times New Roman" w:hAnsi="Times New Roman"/>
          <w:sz w:val="18"/>
          <w:szCs w:val="18"/>
          <w:color w:val="auto"/>
        </w:rPr>
        <w:t>Our Compensation Committee also established 2010 financial performance measures for our business lines in connection with determining the incentive bonus for senior executives, whose incentive bonuses are tied partially to the financial performance of the relevant business lines. The financial performance measures for our business lines give equal weighting to revenues and gross margin percentage. In 2010, for the first time, the incentive bonus for our vice presidents in the enabling or corporate groups within the company was also partially based on the evaluation of the performance of their respective groups by leaders of the other enabling or corporate groups.</w:t>
      </w:r>
    </w:p>
    <w:p>
      <w:pPr>
        <w:spacing w:after="0" w:line="58"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18"/>
          <w:szCs w:val="18"/>
          <w:color w:val="auto"/>
        </w:rPr>
        <w:t>We generally pay bonuses at target when we achieve the established financial measures that are set forth in our annual operating plan. The incentive bonus for senior executives who have responsibility for our business lines is also tied to the financial or other performance of the business lines or groups headed by such executives. These measures reflect targets that are intended to be aggressive but attainable. The remainder of an individual’s payout under our incentive bonus program is determined by individual performance. Until 2010, eligible employees received the full amounts of their earned incentive bonuses in cash. For 2010, our Compensation Committee determined that it would enhance executive retention and provide for greater executive share ownership and alignment with stockholders by paying approximately 90% of the bonuses in cash and by matching and then paying approximately 10% of the bonuses in the form of restricted stock units which would vest ratably over three years, subject to continued service. The Compensation Committee took into account the fact that the portion of the bonuses not paid in cash were subject to additional vesting (and thus remained at risk for one to three years), and determined that it was appropriate to double the amount of the restricted stock units granted in response to the additional period of risk they create.</w:t>
      </w:r>
    </w:p>
    <w:p>
      <w:pPr>
        <w:spacing w:after="0" w:line="58" w:lineRule="exact"/>
        <w:rPr>
          <w:sz w:val="20"/>
          <w:szCs w:val="20"/>
          <w:color w:val="auto"/>
        </w:rPr>
      </w:pPr>
    </w:p>
    <w:p>
      <w:pPr>
        <w:ind w:left="900" w:hanging="325"/>
        <w:spacing w:after="0" w:line="25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Assessment of Individual Performance</w:t>
      </w:r>
      <w:r>
        <w:rPr>
          <w:rFonts w:ascii="Times New Roman" w:cs="Times New Roman" w:eastAsia="Times New Roman" w:hAnsi="Times New Roman"/>
          <w:sz w:val="18"/>
          <w:szCs w:val="18"/>
          <w:color w:val="auto"/>
        </w:rPr>
        <w:t>. Individual performance has a strong impact on the compensation of all employees, including Messrs. Talwar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Kapoor, our founder executive officers, and our other executive officers. The evaluation of an individual’s performance determines a portion of the size of payouts under our incentive bonus program and also influences any changes in base salary. Early each year, our Nominating and Governance Committee meets separately by itself, with our Compensation Committee and with our founder executive officers to set their respective performance objectives for the year. The performance objectives are initially proposed by our founder executive officers and modified by our Nominating and Governance Committee based on the performance assessment conducted for the preceding year as well as for important priorities for the current year. Each agreed-upon objective is supplemented with key performance indicators. Our Nominating and Governance Committee’s goal is to design key performance indicators that are objective and easily measurable. At the beginning of the following year, our Nominating and Governance Committee meets to conduct a performance review of our founder executive officers based primarily on their respective achievement of the agreed-upon objectives as well as our founder executive officers’ contributions to our performance and other leadership accomplishments, which is shared with our Compensation Committee. After the discussion, our Compensation Committee translates the numerical performance rating into specific payouts under our incentive bonus program and shares the payout information with our founder executive officers, and at the same time our Nominating and Governance Committee shares the performance assessment with our founder executive officers. Any changes in base salary may also be affected by our Nominating and Governance Committee’s performance evaluation.</w:t>
      </w:r>
    </w:p>
    <w:p>
      <w:pPr>
        <w:spacing w:after="0" w:line="66" w:lineRule="exact"/>
        <w:rPr>
          <w:sz w:val="20"/>
          <w:szCs w:val="20"/>
          <w:color w:val="auto"/>
        </w:rPr>
      </w:pPr>
    </w:p>
    <w:p>
      <w:pPr>
        <w:ind w:left="920"/>
        <w:spacing w:after="0" w:line="254" w:lineRule="auto"/>
        <w:rPr>
          <w:sz w:val="20"/>
          <w:szCs w:val="20"/>
          <w:color w:val="auto"/>
        </w:rPr>
      </w:pPr>
      <w:r>
        <w:rPr>
          <w:rFonts w:ascii="Times New Roman" w:cs="Times New Roman" w:eastAsia="Times New Roman" w:hAnsi="Times New Roman"/>
          <w:sz w:val="18"/>
          <w:szCs w:val="18"/>
          <w:color w:val="auto"/>
        </w:rPr>
        <w:t>For our other named executive officers, our Compensation Committee receives a performance assessment and compensation recommendation from our Chief Executive Officer. The performance assessments are based on self-evaluations by each of the direct reports of our Chief Executive Officer, including our other named executive officers, and subsequent performance appraisals conducted by our Chief Executive Officer in the presence of our Global Head of Human Resources. Our Compensation Committee reviews the performance assessments of these executives with and without our founder executive officers based on the achievement of established objectives by each executive officer and his or her business line (if applicable), his or her contribution to our performance and other leadership accomplishments as well as on an evaluation of the executive officer’s competence. In determining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60"/>
        <w:spacing w:after="0" w:line="275" w:lineRule="auto"/>
        <w:rPr>
          <w:sz w:val="20"/>
          <w:szCs w:val="20"/>
          <w:color w:val="auto"/>
        </w:rPr>
      </w:pPr>
      <w:r>
        <w:rPr>
          <w:rFonts w:ascii="Times New Roman" w:cs="Times New Roman" w:eastAsia="Times New Roman" w:hAnsi="Times New Roman"/>
          <w:sz w:val="18"/>
          <w:szCs w:val="18"/>
          <w:color w:val="auto"/>
        </w:rPr>
        <w:t>numerical performance rating that translates into specific payouts under our incentive bonus program and also influences any changes in base salary, our Compensation Committee may also exercise its judgment based on our board of director’s interactions with such executive officers.</w:t>
      </w:r>
    </w:p>
    <w:p>
      <w:pPr>
        <w:spacing w:after="0" w:line="37" w:lineRule="exact"/>
        <w:rPr>
          <w:sz w:val="20"/>
          <w:szCs w:val="20"/>
          <w:color w:val="auto"/>
        </w:rPr>
      </w:pPr>
    </w:p>
    <w:p>
      <w:pPr>
        <w:ind w:left="900" w:right="120" w:hanging="325"/>
        <w:spacing w:after="0" w:line="287"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Benchmarking and Use of Compensation Consultant</w:t>
      </w:r>
      <w:r>
        <w:rPr>
          <w:rFonts w:ascii="Times New Roman" w:cs="Times New Roman" w:eastAsia="Times New Roman" w:hAnsi="Times New Roman"/>
          <w:sz w:val="16"/>
          <w:szCs w:val="16"/>
          <w:color w:val="auto"/>
        </w:rPr>
        <w:t>. Our Compensation Committee reviews our executive compensation programs for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 relative to publicly available compensation data compiled directly for our Compensation Committee by our Global Head of Human Resources for a group of companies that provide business and technology services. Our Global Head of Human Resources prepares the information for our Compensation Committee based on input from Equilar, Inc., a compensation data provider that we have engaged for the sole purpose of providing such data. At the time that compensation decisions were made for our U.S.-based executive officers and other senior officers in 2010, our Compensation Committee reviewed the publicly available information for companies that provided similar services and that had similar market capitalizations or annual revenues. In addition, they considered companies that were located in the most relevant geographic area for each executive officer. Different companies were considered for the compensation benchmark review of each executive officer. Where compensation information was not publicly disclosed for a specific management position for companies that provide business and technology services, our Compensation Committee reviewed data corresponding to the most comparable position and also considered the comparative experience of executives. The list of companies against which we benchmarked the compensation of certain of our named executive officers in 2010 included the following companies: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Similar 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Comparable Market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Similar Business</w:t>
            </w:r>
          </w:p>
        </w:tc>
        <w:tc>
          <w:tcPr>
            <w:tcW w:w="220" w:type="dxa"/>
            <w:vAlign w:val="bottom"/>
          </w:tcPr>
          <w:p>
            <w:pPr>
              <w:spacing w:after="0"/>
              <w:rPr>
                <w:sz w:val="15"/>
                <w:szCs w:val="15"/>
                <w:color w:val="auto"/>
              </w:rPr>
            </w:pPr>
          </w:p>
        </w:tc>
        <w:tc>
          <w:tcPr>
            <w:tcW w:w="32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Similar Business</w:t>
            </w:r>
          </w:p>
        </w:tc>
        <w:tc>
          <w:tcPr>
            <w:tcW w:w="220" w:type="dxa"/>
            <w:vAlign w:val="bottom"/>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Capitalization or Revenues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Cognizant Technology Solutions Corp.</w:t>
            </w:r>
          </w:p>
        </w:tc>
        <w:tc>
          <w:tcPr>
            <w:tcW w:w="2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Solera Holdings, Inc.</w:t>
            </w:r>
          </w:p>
        </w:tc>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iGATE Corp.</w:t>
            </w:r>
          </w:p>
        </w:tc>
        <w:tc>
          <w:tcPr>
            <w:tcW w:w="0" w:type="dxa"/>
            <w:vAlign w:val="bottom"/>
          </w:tcPr>
          <w:p>
            <w:pPr>
              <w:spacing w:after="0"/>
              <w:rPr>
                <w:sz w:val="1"/>
                <w:szCs w:val="1"/>
                <w:color w:val="auto"/>
              </w:rPr>
            </w:pPr>
          </w:p>
        </w:tc>
      </w:tr>
      <w:tr>
        <w:trPr>
          <w:trHeight w:val="28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Convergys Corporation</w:t>
            </w:r>
          </w:p>
        </w:tc>
        <w:tc>
          <w:tcPr>
            <w:tcW w:w="22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Sykes Enterprises Inc.</w:t>
            </w:r>
          </w:p>
        </w:tc>
        <w:tc>
          <w:tcPr>
            <w:tcW w:w="3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Intelligroup Inc.</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Firstsource</w:t>
            </w:r>
          </w:p>
        </w:tc>
        <w:tc>
          <w:tcPr>
            <w:tcW w:w="2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Syntel Inc.</w:t>
            </w:r>
          </w:p>
        </w:tc>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Virtusa Corp.</w:t>
            </w:r>
          </w:p>
        </w:tc>
        <w:tc>
          <w:tcPr>
            <w:tcW w:w="0" w:type="dxa"/>
            <w:vAlign w:val="bottom"/>
          </w:tcPr>
          <w:p>
            <w:pPr>
              <w:spacing w:after="0"/>
              <w:rPr>
                <w:sz w:val="1"/>
                <w:szCs w:val="1"/>
                <w:color w:val="auto"/>
              </w:rPr>
            </w:pPr>
          </w:p>
        </w:tc>
      </w:tr>
      <w:tr>
        <w:trPr>
          <w:trHeight w:val="28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Genpact Ltd.</w:t>
            </w:r>
          </w:p>
        </w:tc>
        <w:tc>
          <w:tcPr>
            <w:tcW w:w="22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Teletech Holdings Inc.</w:t>
            </w: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Hewitt Associates Inc.</w:t>
            </w:r>
          </w:p>
        </w:tc>
        <w:tc>
          <w:tcPr>
            <w:tcW w:w="2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WNS (Holdings) Ltd.</w:t>
            </w:r>
          </w:p>
        </w:tc>
        <w:tc>
          <w:tcPr>
            <w:tcW w:w="2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Sapient Corp.</w:t>
            </w:r>
          </w:p>
        </w:tc>
        <w:tc>
          <w:tcPr>
            <w:tcW w:w="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20" w:right="60"/>
        <w:spacing w:after="0" w:line="262" w:lineRule="auto"/>
        <w:rPr>
          <w:sz w:val="20"/>
          <w:szCs w:val="20"/>
          <w:color w:val="auto"/>
        </w:rPr>
      </w:pPr>
      <w:r>
        <w:rPr>
          <w:rFonts w:ascii="Times New Roman" w:cs="Times New Roman" w:eastAsia="Times New Roman" w:hAnsi="Times New Roman"/>
          <w:sz w:val="18"/>
          <w:szCs w:val="18"/>
          <w:color w:val="auto"/>
        </w:rPr>
        <w:t>For geographic areas (such as India) where we are not able to obtain reliable publicly available compensation data for our executive officers because such information is not legally required to be disclosed, our Global Head of Human Resources uses data from a variety of private and informal sources.</w:t>
      </w:r>
    </w:p>
    <w:p>
      <w:pPr>
        <w:spacing w:after="0" w:line="51" w:lineRule="exact"/>
        <w:rPr>
          <w:sz w:val="20"/>
          <w:szCs w:val="20"/>
          <w:color w:val="auto"/>
        </w:rPr>
      </w:pPr>
    </w:p>
    <w:p>
      <w:pPr>
        <w:jc w:val="both"/>
        <w:ind w:left="920" w:right="280"/>
        <w:spacing w:after="0" w:line="310" w:lineRule="auto"/>
        <w:rPr>
          <w:sz w:val="20"/>
          <w:szCs w:val="20"/>
          <w:color w:val="auto"/>
        </w:rPr>
      </w:pPr>
      <w:r>
        <w:rPr>
          <w:rFonts w:ascii="Times New Roman" w:cs="Times New Roman" w:eastAsia="Times New Roman" w:hAnsi="Times New Roman"/>
          <w:sz w:val="16"/>
          <w:szCs w:val="16"/>
          <w:color w:val="auto"/>
        </w:rPr>
        <w:t>Our Compensation Committee uses the data primarily to ensure that our executive compensation programs for executive officers are competitive. Our Compensation Committee adjusts individual executive compensation elements based on changes in job responsibilities of the executive, the performance of the executive or the combination of qualifications and skills that an executive uses to enhance our performance.</w:t>
      </w:r>
    </w:p>
    <w:p>
      <w:pPr>
        <w:spacing w:after="0" w:line="14" w:lineRule="exact"/>
        <w:rPr>
          <w:sz w:val="20"/>
          <w:szCs w:val="20"/>
          <w:color w:val="auto"/>
        </w:rPr>
      </w:pPr>
    </w:p>
    <w:p>
      <w:pPr>
        <w:ind w:left="900" w:hanging="325"/>
        <w:spacing w:after="0" w:line="25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Compensation Review</w:t>
      </w:r>
      <w:r>
        <w:rPr>
          <w:rFonts w:ascii="Times New Roman" w:cs="Times New Roman" w:eastAsia="Times New Roman" w:hAnsi="Times New Roman"/>
          <w:sz w:val="18"/>
          <w:szCs w:val="18"/>
          <w:color w:val="auto"/>
        </w:rPr>
        <w:t>. Our Compensation Committee designs the categories and presentation of compensation information required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executive’s base pay, incentive bonus and equity incentives when changes in compensation are considered by our Compensation Committee and requests our Global Head of Human Resources to compile such information. Compensation decisions are designed to promote our fundamental business objectives and strategy. Our Compensation Committee periodically reviews related matters such as succession planning, changes in the scope of managerial responsibilities, evaluation of management performance and consideration of the business environment and considers such matters in making compensation decisions.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Each named executive officer and each of our other executive officers is party to an employment agreement or letter that sets forth the terms of his or her employment, including compensation. The employment agreements for our founder executive officers have fixed terms, but the employment letters for our other executive officers do not have fixed terms and are terminable by either the executive or us at will.</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Components of Executive Compensation for 2010</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2010,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or, in the case of our executive officers based in India, fixed compensation;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bonuses;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incentives of stock options and/or restricted stock units;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and perquisites;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Base salaries and incentive bonuses are designed to reward annual achievements and be commensurate with the executive’s scope of managerial responsibilities, demonstrated leadership abilities, and management experience and expertise. Our other elements of compensation focus on motivating and challenging the executive to achieve sustained and longer-term results. By modifying the bonus program in 2010 to include restricted stock unit awards, our Compensation Committee has further enhanced the retention and stockholder alignment features of our compensation program for our senior officers. We generally do not adhere to rigid formulas or necessarily react to short-term changes in business performance in determining the amount and mix of compensation elements. However, we do rely on the formulaic achievement of our revenues, New Account Revenues and Adjusted EBIT targets in connection with determining a significant portion of the incentive bonuses for our executive officers and other members of management.</w:t>
      </w:r>
    </w:p>
    <w:p>
      <w:pPr>
        <w:spacing w:after="0" w:line="141"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periodic review of each executive’s base pay, incentive bonus and equity incentives by our Compensation Committee is intended to maintain the appropriate pay mix for each executive officer based on his role and responsibility.</w:t>
      </w:r>
    </w:p>
    <w:p>
      <w:pPr>
        <w:spacing w:after="0" w:line="12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discussion of our Compensation Committee’s considerations in establishing each of the compensation components for our executive officers.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92"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Base salary is a fixed element of employees’ annual cash compensation, the payment of which is not tied to our performance. We provide a competitive annual base salary to each of our named executive officers. This attracts and retains an appropriate caliber of talent for the position and to provide a base wage that is not subject to our performance risk. We recognize that changes in the scope of managerial responsibilities could warrant increases before the scheduled review. Base salary determinations reflect the individual’s experience, scope of managerial responsibilities, skill set and the market value of that skill set. In setting base salaries for 2010, our Compensation Committee considered the following factors:</w:t>
      </w:r>
    </w:p>
    <w:p>
      <w:pPr>
        <w:spacing w:after="0" w:line="56" w:lineRule="exact"/>
        <w:rPr>
          <w:sz w:val="20"/>
          <w:szCs w:val="20"/>
          <w:color w:val="auto"/>
        </w:rPr>
      </w:pPr>
    </w:p>
    <w:p>
      <w:pPr>
        <w:ind w:left="900" w:right="180" w:hanging="325"/>
        <w:spacing w:after="0" w:line="27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Individual performance. </w:t>
      </w:r>
      <w:r>
        <w:rPr>
          <w:rFonts w:ascii="Times New Roman" w:cs="Times New Roman" w:eastAsia="Times New Roman" w:hAnsi="Times New Roman"/>
          <w:sz w:val="18"/>
          <w:szCs w:val="18"/>
          <w:color w:val="auto"/>
        </w:rPr>
        <w:t>As described above under “Our Compensation Committee’s Processes,” base salary increases take into account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competence assessments.</w:t>
      </w:r>
    </w:p>
    <w:p>
      <w:pPr>
        <w:spacing w:after="0" w:line="35" w:lineRule="exact"/>
        <w:rPr>
          <w:rFonts w:ascii="Times New Roman" w:cs="Times New Roman" w:eastAsia="Times New Roman" w:hAnsi="Times New Roman"/>
          <w:sz w:val="18"/>
          <w:szCs w:val="18"/>
          <w:color w:val="auto"/>
        </w:rPr>
      </w:pPr>
    </w:p>
    <w:p>
      <w:pPr>
        <w:ind w:left="900" w:right="160" w:hanging="325"/>
        <w:spacing w:after="0" w:line="264"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data specific to the executive’s position, where applicable. </w:t>
      </w:r>
      <w:r>
        <w:rPr>
          <w:rFonts w:ascii="Times New Roman" w:cs="Times New Roman" w:eastAsia="Times New Roman" w:hAnsi="Times New Roman"/>
          <w:sz w:val="18"/>
          <w:szCs w:val="18"/>
          <w:color w:val="auto"/>
        </w:rPr>
        <w:t>As noted above, our Compensation Committee used certain geographical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to test for reasonableness and competitiveness of base salaries, but we also exercised subjective judgment based on the rapid growth of our industry and our view of our compensation objectives.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right="360" w:hanging="325"/>
        <w:spacing w:after="0" w:line="312"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Consideration of the mix of overall compensation</w:t>
      </w:r>
      <w:r>
        <w:rPr>
          <w:rFonts w:ascii="Times New Roman" w:cs="Times New Roman" w:eastAsia="Times New Roman" w:hAnsi="Times New Roman"/>
          <w:sz w:val="16"/>
          <w:szCs w:val="16"/>
          <w:color w:val="auto"/>
        </w:rPr>
        <w:t>. Consistent with our compensation objectives, as employees progress to higher levels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organization, a greater proportion of overall compensation is directly linked to our performance and stockholder value. Thus, for example, our founder executive officers’ overall compensation is more heavily weighted toward equity compensation than that of our other executive officers.</w:t>
      </w:r>
    </w:p>
    <w:p>
      <w:pPr>
        <w:spacing w:after="0" w:line="95"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Our founder executive officers entered into new employment agreements prior to our initial public offering in 2006 to more closely align the terms of such agreements with those of executives holding equivalent roles at other public companies, including periodic compensation adjustments and annual equity awards. Effective March 16, 2010, we amended Mr. Kapoor’s employment agreement to increase Mr. Kapoor’s annual base salary to $500,000, extend the term of his employment to December 31, 2012, and increase the amount we will pay for the lease of an automobile for Mr. Kapoor to $1,400 per month. Effective June 2, 2010, we amended Mr. Talwar’s employment agreement to clarify the notice requirements in connection with the renewal or expiration of his term of employment with us and the scope of our tax equalization obligations. The Company had also agreed in Mr. Talwar’s amendment to (A) provide a travel allowance to</w:t>
      </w:r>
    </w:p>
    <w:p>
      <w:pPr>
        <w:spacing w:after="0" w:line="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Mr. Talwar for periods when he is in the United Kingdom on company business and does not stay in a hotel and (B) continue to pay Mr. Talwar’s automobile lease or loan payments if he purchases an automobile. In addition, we corrected a typographical error in a cross reference in the employment agreements for our founder executive officers to clarify that all accelerated vesting of equity associated with a change in control will apply to all unvested equity awards granted on and after September 30, 2006.</w:t>
      </w:r>
    </w:p>
    <w:p>
      <w:pPr>
        <w:spacing w:after="0" w:line="13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Mr. Bloom joined us in July 2010. Mr. Bloom’s base salary was determined through an arm’s-length negotiation during the hiring process and based upon his level of responsibility and our assessment of Mr. Bloom’s experience, skills and knowledge and our general compensation guidelines.</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Under our compensation policies for executives stationed in India, Messrs. Chhibbar and Bagai each received additional cash compensation over and above their base salary in amounts equal to the portions of allowances included in their total annual fixed compensation to which they were entitled in 2010 but which they did not use. Those amounts are detailed in the footnotes to the Summary Compensation Table.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Incentive Bonus</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have established an annual incentive bonus program in order to align our executive officers’ goals with our revenues and profitability objectives for the current year as well as encouraging the establishment of new strategic client relationships that would make meaningful contributions to our future financial performance. An incentive bonus program was approved by our Compensation Committee in early 2010 with respect to the incentive bonuses to be paid in 2011. This bonus program included the changes described above under “Our Compensation Committee’s Processes.” Under the plan, bonus target amounts, expressed as a percentage of base salary or annual fixed compensation, are established for participants at the beginning of each year unless their employment agreements contain different terms. Funding of possible bonus payouts for the year are determined by our financial results for the year relative to predetermined performance measures, and may be increased or decreased depending upon the executive’s individual performance against his or her performance goals. When our performance falls short of target, our aggregate funding of the annual cash bonus incentive pool declines, with no funding of the bonus pool if we do not achieve at least 90% of each of our established financial performance objectives. At the end of the performance period, our Compensation Committee has discretion to adjust an award payout from the amount yielded by the formula. For 2010, our Compensation Committee did not adjust an award payout for any named executive officer. Our Compensation Committee considered the following when establishing the awards for 2010:</w:t>
      </w:r>
    </w:p>
    <w:p>
      <w:pPr>
        <w:spacing w:after="0" w:line="177" w:lineRule="exact"/>
        <w:rPr>
          <w:sz w:val="20"/>
          <w:szCs w:val="20"/>
          <w:color w:val="auto"/>
        </w:rPr>
      </w:pPr>
    </w:p>
    <w:p>
      <w:pPr>
        <w:ind w:left="900" w:right="240" w:hanging="325"/>
        <w:spacing w:after="0" w:line="264"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Bonus Targets</w:t>
      </w:r>
      <w:r>
        <w:rPr>
          <w:rFonts w:ascii="Times New Roman" w:cs="Times New Roman" w:eastAsia="Times New Roman" w:hAnsi="Times New Roman"/>
          <w:sz w:val="18"/>
          <w:szCs w:val="18"/>
          <w:color w:val="auto"/>
        </w:rPr>
        <w:t>. Bonus targets were based on job responsibilities and comparable market data. Our objective was to set bonus targets such that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cash compensation was within the broad middle range of market data and a substantial portion of that compensation was linked to our performance. Consistent with our executive compensation policy, individuals with greater job</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20" w:right="480"/>
        <w:spacing w:after="0" w:line="262" w:lineRule="auto"/>
        <w:rPr>
          <w:sz w:val="20"/>
          <w:szCs w:val="20"/>
          <w:color w:val="auto"/>
        </w:rPr>
      </w:pPr>
      <w:r>
        <w:rPr>
          <w:rFonts w:ascii="Times New Roman" w:cs="Times New Roman" w:eastAsia="Times New Roman" w:hAnsi="Times New Roman"/>
          <w:sz w:val="18"/>
          <w:szCs w:val="18"/>
          <w:color w:val="auto"/>
        </w:rPr>
        <w:t>responsibilities had a greater proportion of their total compensation tied to our performance through the bonus plan. Thus, our Compensation Committee established the following bonus targets for 2010 (expressed as a percentage of base salary or annual fixed compensation as well as maximum bonus targets) for each named executive officer:</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70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Bonus Target</w:t>
            </w:r>
          </w:p>
        </w:tc>
      </w:tr>
      <w:tr>
        <w:trPr>
          <w:trHeight w:val="210"/>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74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75% of base salary; maximum bonus of 150% of base salary</w:t>
            </w: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74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75% of base salary; maximum bonus of 150% of base salary</w:t>
            </w: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Vishal Chhibbar</w:t>
            </w:r>
          </w:p>
        </w:tc>
        <w:tc>
          <w:tcPr>
            <w:tcW w:w="74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50% of annual fixed compensation; maximum bonus of 100% of annual fixed compensation</w:t>
            </w: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A. Bloom</w:t>
            </w:r>
          </w:p>
        </w:tc>
        <w:tc>
          <w:tcPr>
            <w:tcW w:w="74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Guaranteed fixed bonus of $500,000</w:t>
            </w: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Pavan Bagai</w:t>
            </w:r>
          </w:p>
        </w:tc>
        <w:tc>
          <w:tcPr>
            <w:tcW w:w="74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50% of annual fixed compensation; maximum bonus of 100% of annual fixed compensation</w:t>
            </w:r>
          </w:p>
        </w:tc>
      </w:tr>
      <w:tr>
        <w:trPr>
          <w:trHeight w:val="228"/>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74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70% of base salary; maximum bonus of 140% of base salary</w:t>
            </w:r>
          </w:p>
        </w:tc>
      </w:tr>
    </w:tbl>
    <w:p>
      <w:pPr>
        <w:spacing w:after="0" w:line="54" w:lineRule="exact"/>
        <w:rPr>
          <w:sz w:val="20"/>
          <w:szCs w:val="20"/>
          <w:color w:val="auto"/>
        </w:rPr>
      </w:pPr>
    </w:p>
    <w:p>
      <w:pPr>
        <w:ind w:left="920" w:right="40"/>
        <w:spacing w:after="0" w:line="256" w:lineRule="auto"/>
        <w:rPr>
          <w:sz w:val="20"/>
          <w:szCs w:val="20"/>
          <w:color w:val="auto"/>
        </w:rPr>
      </w:pPr>
      <w:r>
        <w:rPr>
          <w:rFonts w:ascii="Times New Roman" w:cs="Times New Roman" w:eastAsia="Times New Roman" w:hAnsi="Times New Roman"/>
          <w:sz w:val="18"/>
          <w:szCs w:val="18"/>
          <w:color w:val="auto"/>
        </w:rPr>
        <w:t>For 2010, the target bonus for our founder executive officers and Messrs. Bagai and de Villa was 60% dependent on our financial performance and 40% dependent on individual performance. The target bonus for Mr. Chhibbar was 40% dependent on our financial performance, 40% dependent on individual performance and 20% dependent on the appraisal of the performance of their respective organizations by leaders of the other enabling or corporate groups within the company. Mr. Bloom was entitled to a guaranteed bonus of $500,000 for 2010 in accordance with his employment agreement.</w:t>
      </w:r>
    </w:p>
    <w:p>
      <w:pPr>
        <w:spacing w:after="0" w:line="56" w:lineRule="exact"/>
        <w:rPr>
          <w:sz w:val="20"/>
          <w:szCs w:val="20"/>
          <w:color w:val="auto"/>
        </w:rPr>
      </w:pPr>
    </w:p>
    <w:p>
      <w:pPr>
        <w:ind w:left="900" w:hanging="325"/>
        <w:spacing w:after="0" w:line="254"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Performance Measures. </w:t>
      </w:r>
      <w:r>
        <w:rPr>
          <w:rFonts w:ascii="Times New Roman" w:cs="Times New Roman" w:eastAsia="Times New Roman" w:hAnsi="Times New Roman"/>
          <w:sz w:val="18"/>
          <w:szCs w:val="18"/>
          <w:color w:val="auto"/>
        </w:rPr>
        <w:t>For all employees whose incentive bonus is linked to our financial performance, including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our Compensation Committee established 2010 financial performance measures for us based on a weighting of 25% on revenues, 25% on New Account Revenues and 50% on Adjusted EBIT. Our Compensation Committee also set forth the 2010 financial performance measures for our business lines in connection with determining the incentive bonuses for employees, including senior executives, whose incentive bonuses are also tied partially to the financial performance of the relevant business lines. With respect to Messrs. Bagai and Chhibbar, the 60% financial component is based on our financial performance against the targets as described above. With respect to Mr. de Villa, the 60% financial component is separated into two parts: 30% based on our financial performance against the targets as described above, and 30% based on the financial performance of our transformation business line and measured in equal parts based on the revenues target and gross margin percentage.</w:t>
      </w:r>
    </w:p>
    <w:p>
      <w:pPr>
        <w:spacing w:after="0" w:line="59"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18"/>
          <w:szCs w:val="18"/>
          <w:color w:val="auto"/>
        </w:rPr>
        <w:t>The measures are also effective motivators because they are easy to track and clearly understood by employees. In 2010, payouts could have ranged from zero to 200% of target depending on our performance. Our Compensation Committee established the financial performance measures for revenues, New Account Revenues and Adjusted EBIT (and revenues and gross margin percentages for the outsourcing and transformation business lines) by applying the principles described above under “Our Compensation Committee’s Processes.”</w:t>
      </w:r>
    </w:p>
    <w:p>
      <w:pPr>
        <w:spacing w:after="0" w:line="53" w:lineRule="exact"/>
        <w:rPr>
          <w:sz w:val="20"/>
          <w:szCs w:val="20"/>
          <w:color w:val="auto"/>
        </w:rPr>
      </w:pPr>
    </w:p>
    <w:p>
      <w:pPr>
        <w:ind w:left="900" w:hanging="325"/>
        <w:spacing w:after="0" w:line="25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Bonus Pool</w:t>
      </w:r>
      <w:r>
        <w:rPr>
          <w:rFonts w:ascii="Times New Roman" w:cs="Times New Roman" w:eastAsia="Times New Roman" w:hAnsi="Times New Roman"/>
          <w:sz w:val="18"/>
          <w:szCs w:val="18"/>
          <w:color w:val="auto"/>
        </w:rPr>
        <w:t>. For the revenues and Adjusted EBIT targets, the amount of bonus pool funding decreases by between 7% and 8%,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by which we miss our target (and there will be no bonus pool funding in respect of the revenues target or the Adjusted EBIT target, as applicable, if we do not attain at least 90% of that performance criterion). For the New Account Revenues target, the amount of bonus pool funding decreases by between 7% and 8%, for each 3% by which we miss our target (and there will be no bonus pool funding in respect of the New Account Revenues target if we do not attain at least 70% of the given performance criterion). For each additional 1% by which we exceed our revenues target, the bonus pool funding in respect of that criterion increases by 13% (with a maximum of 200% funding for that criterion if we equal or exceed 107.5% of the revenues target). For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8"/>
          <w:szCs w:val="18"/>
          <w:color w:val="auto"/>
        </w:rPr>
        <w:t>each additional 3% to 4% by which we exceed our New Account Revenues target, the bonus pool funding in respect of that criterion increases by between 5% and 8% (with a maximum of 200% funding for that criterion if we equal or exceed 150% of the New Account Revenues target). For each additional 1% by which we exceed our Adjusted EBIT target, the bonus pool funding in respect of that criterion increases on an increasing scale of 5% to 9% (with a maximum of 200% funding for that criterion if we equal or exceed 115% of the Adjusted EBIT target).</w:t>
      </w:r>
    </w:p>
    <w:p>
      <w:pPr>
        <w:spacing w:after="0" w:line="53" w:lineRule="exact"/>
        <w:rPr>
          <w:sz w:val="20"/>
          <w:szCs w:val="20"/>
          <w:color w:val="auto"/>
        </w:rPr>
      </w:pPr>
    </w:p>
    <w:p>
      <w:pPr>
        <w:ind w:left="900" w:hanging="325"/>
        <w:spacing w:after="0" w:line="26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performance measures</w:t>
      </w:r>
      <w:r>
        <w:rPr>
          <w:rFonts w:ascii="Times New Roman" w:cs="Times New Roman" w:eastAsia="Times New Roman" w:hAnsi="Times New Roman"/>
          <w:sz w:val="18"/>
          <w:szCs w:val="18"/>
          <w:color w:val="auto"/>
        </w:rPr>
        <w:t>. These goals are designed to balance the attention of our named executive officers between the achievement of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objectives that improve specific processes or performance metrics and long-term objectives for us. While some of the goals are subjective, certain other goals, such as client and employee satisfaction metrics, are capable of objective measurement.</w:t>
      </w:r>
    </w:p>
    <w:p>
      <w:pPr>
        <w:spacing w:after="0" w:line="48" w:lineRule="exact"/>
        <w:rPr>
          <w:sz w:val="20"/>
          <w:szCs w:val="20"/>
          <w:color w:val="auto"/>
        </w:rPr>
      </w:pPr>
    </w:p>
    <w:p>
      <w:pPr>
        <w:ind w:left="920" w:right="360"/>
        <w:spacing w:after="0" w:line="258" w:lineRule="auto"/>
        <w:rPr>
          <w:sz w:val="20"/>
          <w:szCs w:val="20"/>
          <w:color w:val="auto"/>
        </w:rPr>
      </w:pPr>
      <w:r>
        <w:rPr>
          <w:rFonts w:ascii="Times New Roman" w:cs="Times New Roman" w:eastAsia="Times New Roman" w:hAnsi="Times New Roman"/>
          <w:sz w:val="18"/>
          <w:szCs w:val="18"/>
          <w:color w:val="auto"/>
        </w:rPr>
        <w:t>For Messrs. Talwar and Kapoor, the 40% of target bonus dependent on individual performance is based significantly on the following individual performance measures: development of new and strategic capabilities, advancement of strategic objectives and strengthening of our business development capabilities. In addition, Mr. Talwar is evaluated on his board leadership accomplishments while Mr. Kapoor is evaluated on his organizational leadership and operational accomplishments.</w:t>
      </w:r>
    </w:p>
    <w:p>
      <w:pPr>
        <w:spacing w:after="0" w:line="55" w:lineRule="exact"/>
        <w:rPr>
          <w:sz w:val="20"/>
          <w:szCs w:val="20"/>
          <w:color w:val="auto"/>
        </w:rPr>
      </w:pPr>
    </w:p>
    <w:p>
      <w:pPr>
        <w:ind w:left="920" w:right="240"/>
        <w:spacing w:after="0" w:line="275" w:lineRule="auto"/>
        <w:rPr>
          <w:sz w:val="20"/>
          <w:szCs w:val="20"/>
          <w:color w:val="auto"/>
        </w:rPr>
      </w:pPr>
      <w:r>
        <w:rPr>
          <w:rFonts w:ascii="Times New Roman" w:cs="Times New Roman" w:eastAsia="Times New Roman" w:hAnsi="Times New Roman"/>
          <w:sz w:val="18"/>
          <w:szCs w:val="18"/>
          <w:color w:val="auto"/>
        </w:rPr>
        <w:t>For Mr. Chhibbar, the 40% of target bonus dependent on individual performance is based on the following performance measures: achievement of corporate financial targets, regulatory compliance, acquisition oversight and finance department growth and operations.</w:t>
      </w:r>
    </w:p>
    <w:p>
      <w:pPr>
        <w:spacing w:after="0" w:line="39" w:lineRule="exact"/>
        <w:rPr>
          <w:sz w:val="20"/>
          <w:szCs w:val="20"/>
          <w:color w:val="auto"/>
        </w:rPr>
      </w:pPr>
    </w:p>
    <w:p>
      <w:pPr>
        <w:ind w:left="920" w:right="540"/>
        <w:spacing w:after="0" w:line="262" w:lineRule="auto"/>
        <w:rPr>
          <w:sz w:val="20"/>
          <w:szCs w:val="20"/>
          <w:color w:val="auto"/>
        </w:rPr>
      </w:pPr>
      <w:r>
        <w:rPr>
          <w:rFonts w:ascii="Times New Roman" w:cs="Times New Roman" w:eastAsia="Times New Roman" w:hAnsi="Times New Roman"/>
          <w:sz w:val="18"/>
          <w:szCs w:val="18"/>
          <w:color w:val="auto"/>
        </w:rPr>
        <w:t>For Mr. Bagai, the 40% of target bonus dependent on individual performance is based on the following performance measures: revenues from business development with our existing clients, operations excellence, enablement of our business through technology and integration of acquisitions.</w:t>
      </w:r>
    </w:p>
    <w:p>
      <w:pPr>
        <w:spacing w:after="0" w:line="51" w:lineRule="exact"/>
        <w:rPr>
          <w:sz w:val="20"/>
          <w:szCs w:val="20"/>
          <w:color w:val="auto"/>
        </w:rPr>
      </w:pPr>
    </w:p>
    <w:p>
      <w:pPr>
        <w:ind w:left="920" w:right="20"/>
        <w:spacing w:after="0" w:line="262" w:lineRule="auto"/>
        <w:rPr>
          <w:sz w:val="20"/>
          <w:szCs w:val="20"/>
          <w:color w:val="auto"/>
        </w:rPr>
      </w:pPr>
      <w:r>
        <w:rPr>
          <w:rFonts w:ascii="Times New Roman" w:cs="Times New Roman" w:eastAsia="Times New Roman" w:hAnsi="Times New Roman"/>
          <w:sz w:val="18"/>
          <w:szCs w:val="18"/>
          <w:color w:val="auto"/>
        </w:rPr>
        <w:t>For Mr. de Villa, the 40% of target bonus dependent on individual performance is based on the following performance measures: client satisfaction, practice economics, innovation of client relationships, employee management, achievement of certain employee satisfaction and attrition metrics and execution of strategic initiatives and operational control.</w:t>
      </w:r>
    </w:p>
    <w:p>
      <w:pPr>
        <w:spacing w:after="0" w:line="132" w:lineRule="exact"/>
        <w:rPr>
          <w:sz w:val="20"/>
          <w:szCs w:val="20"/>
          <w:color w:val="auto"/>
        </w:rPr>
      </w:pPr>
    </w:p>
    <w:p>
      <w:pPr>
        <w:ind w:right="220" w:firstLine="456"/>
        <w:spacing w:after="0" w:line="253" w:lineRule="auto"/>
        <w:rPr>
          <w:sz w:val="20"/>
          <w:szCs w:val="20"/>
          <w:color w:val="auto"/>
        </w:rPr>
      </w:pPr>
      <w:r>
        <w:rPr>
          <w:rFonts w:ascii="Times New Roman" w:cs="Times New Roman" w:eastAsia="Times New Roman" w:hAnsi="Times New Roman"/>
          <w:sz w:val="18"/>
          <w:szCs w:val="18"/>
          <w:color w:val="auto"/>
        </w:rPr>
        <w:t>In establishing each of Mr. Talwar’s and Mr. Kapoor’s incentive bonuses for 2010, our Compensation Committee applied the principles described above under “Our Compensation Committee’s Processes.” Our Nominating and Governance Committee assessed each of our founder executive officer’s performance for 2010. They considered each founder executive officer’s accomplishment of objectives that had been established at the beginning of the year and our Nominating and Governance Committee’s own assessment of their performances, including against the pre-established goals. They noted that under the leadership of our founder executive officers, in 2010, we achieved revenues of $252.8 million, which represented 105.3% of our revenues target, New Account Revenues of $10.4 million, which represented 104.3% of our New Account Revenues target and Adjusted EBIT of $41.1 million, which represented 108.8% of our Adjusted EBIT target. As a result of our exceeding of the predetermined financial targets, 168.1% of the bonus pool was funded in respect of the revenues target, 107.2% of the bonus pool was funded in respect of New Account Revenues target and 151.7% of the bonus pool was funded in respect of the Adjusted EBIT target.</w:t>
      </w:r>
    </w:p>
    <w:p>
      <w:pPr>
        <w:spacing w:after="0" w:line="14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Compensation Committee awarded incentive bonuses of $442,877 and $505,779 to Mr. Talwar and Mr. Kapoor, respectively. Mr. Kapoor received $459,837 in cash and the remainder of his incentive bonus was paid in the form of restricted stock units. In the case of Messrs. Talwar and Kapoor, 15% of the annual incentive bonus was based on our performance against the revenues target (earned at 168.1% of target as described above), 15% of the annual incentive bonus was based on our performance against the New Account Revenues target (earned at 107.2% of target as described above) and 30% of the annual cash bonus was based on our performance against the Adjusted EBIT target (earned at 151.7% of target as described above). The remainder of the incentive bonus was based on our Compensation Committee’s evaluation of the named executive officer’s performance against their respective individual performance measures. In evaluating Mr. Talwar’s individual performance, his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contributions in the areas of board leadership and the organic and inorganic development of new business capabilities and revenues were recognized by our Nominating and Governance Committee. Mr. Kapoor’s contributions in the strengthening of our business development capabilities, leadership in the execution of our acquisitions of the American Express Global Travel Service Center and Professional Data Management Again, Inc. as well as development of operations, strategic and other organization capabilities were recognized by the Nominating and Governance Committee. The total bonus for Messrs. Talwar and Kapoor was 140.6% and 139.4%, respectively, of each founder executive officer’s target annual bonus.</w:t>
      </w:r>
    </w:p>
    <w:p>
      <w:pPr>
        <w:spacing w:after="0" w:line="13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Chief Executive Officer made performance assessments and compensation recommendations for our other named executive officers employed by us at the end of 2010, and our Compensation Committee approved the recommendations after reviewing similar considerations for such named executive officers. For Messrs. Chhibbar and Bagai, 15% of the annual incentive bonus was based on our performance against the revenues target (earned at 168.1% of target as described above), 15% of the annual incentive bonus was based on our performance against the New Account Revenues target (earned at 107.2% of target as described above) and 30% of the annual cash bonus was based on our performance against the Adjusted EBIT target (earned at 151.7% of target as described above).</w:t>
      </w:r>
    </w:p>
    <w:p>
      <w:pPr>
        <w:spacing w:after="0" w:line="13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Forty percent of Mr. Chhibbar’s annual incentive bonus was based on our Compensation Committee’s evaluation of Mr. Chhibbar’s performance against his individual performance measures and 20% was based on the appraisal of the performance of the finance organization by leaders of the other enabling or corporate groups within the company. Our Compensation Committee noted Mr. Chhibbar’s role in strengthening the finance department, collaborating with business operating leadership, contribution to the executive leadership team’s strategic planning process and effectively engaging with investors and the broader investment community. As a result, the total bonus for Mr. Chhibbar was 144.3% of his target annual bonus.</w:t>
      </w:r>
    </w:p>
    <w:p>
      <w:pPr>
        <w:spacing w:after="0" w:line="13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Forty percent of Mr. Bagai’s annual incentive bonus was based on our Compensation Committee’s evaluation of Mr. Bagai’s performance against his individual performance measures. Our Compensation Committee recognized and gave weight to Mr. Bagai’s individual goal achievements, including his leadership of our operations and the superior business and financial performance of the outsourcing business, his contribution to the executive leadership team’s strategic planning process and his contribution to increased employee and client satisfaction and attrition management. As a result, the total annual bonus for Mr. Bagai was 153.2% of his target annual bonus.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case of Mr. de Villa, 10% of the annual incentive bonus was based on our performance against the revenues target (earned at 168.1% of target as described above), 10% of the annual incentive bonus was based on our performance against the Adjusted EBIT target (earned at 151.7% of target as described above), 10% of the annual incentive bonus was based on our performance against the New Account Revenues target (earned at 107.2% of target as described above), 15% was based on the revenues of our transformation business (which portion was earned at 200% of target based on 2010 performance), 15% was based on the gross margin percentage of our transformation business (which portion was earned at 0% of target based on 2010 performance), and the remainder of the annual cash bonus was based on our Compensation Committee’s evaluation of his performance against his individual performance measures. Our transformation business achieved revenues of $56.6 million and a gross margin percentage of 35.6%. Our Compensation Committee recognized and gave weight to Mr. de Villa’s individual performance goal achievements, including leadership of the transformation business. As a result, the total bonus for Mr. de Villa was 139.8% of his target bonus for 2010.</w:t>
      </w:r>
    </w:p>
    <w:p>
      <w:pPr>
        <w:spacing w:after="0" w:line="14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paid Mr. Bloom a cash bonus of $453,268, and granted him 4,730 restricted stock units based on the fixed bonus provision for the 2010 calendar year in his employment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Bonuses were paid to our named executive officers in March 2011.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incentive bonus earned by each of our named executive officers. Mr. Talwar received all of his incentive bonus in cash since he is no longer an executive officer of the company, and the Compensation Committee felt that the use of restricted stock units as a retention tool makes sense only for individuals who will remain as our executive officers for the foreseeable future.</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amounts set forth in the table below represent the full amount of the incentive bonus earned and details the amounts paid in cash and paid as restricted stock units, which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Amount of Incentive</w:t>
            </w:r>
          </w:p>
        </w:tc>
        <w:tc>
          <w:tcPr>
            <w:tcW w:w="920" w:type="dxa"/>
            <w:vAlign w:val="bottom"/>
          </w:tcPr>
          <w:p>
            <w:pPr>
              <w:spacing w:after="0"/>
              <w:rPr>
                <w:sz w:val="13"/>
                <w:szCs w:val="13"/>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 of Restricted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Number of 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100" w:type="dxa"/>
            <w:vAlign w:val="bottom"/>
            <w:gridSpan w:val="2"/>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2010 Incentive</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Bonus Paid in Cash</w:t>
            </w:r>
          </w:p>
        </w:tc>
        <w:tc>
          <w:tcPr>
            <w:tcW w:w="920" w:type="dxa"/>
            <w:vAlign w:val="bottom"/>
          </w:tcPr>
          <w:p>
            <w:pPr>
              <w:spacing w:after="0"/>
              <w:rPr>
                <w:sz w:val="12"/>
                <w:szCs w:val="12"/>
                <w:color w:val="auto"/>
              </w:rPr>
            </w:pPr>
          </w:p>
        </w:tc>
        <w:tc>
          <w:tcPr>
            <w:tcW w:w="2120" w:type="dxa"/>
            <w:vAlign w:val="bottom"/>
            <w:gridSpan w:val="2"/>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Units Granted</w:t>
            </w:r>
          </w:p>
        </w:tc>
        <w:tc>
          <w:tcPr>
            <w:tcW w:w="13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Units Granted</w:t>
            </w:r>
          </w:p>
        </w:tc>
        <w:tc>
          <w:tcPr>
            <w:tcW w:w="0" w:type="dxa"/>
            <w:vAlign w:val="bottom"/>
          </w:tcPr>
          <w:p>
            <w:pPr>
              <w:spacing w:after="0"/>
              <w:rPr>
                <w:sz w:val="1"/>
                <w:szCs w:val="1"/>
                <w:color w:val="auto"/>
              </w:rPr>
            </w:pPr>
          </w:p>
        </w:tc>
      </w:tr>
      <w:tr>
        <w:trPr>
          <w:trHeight w:val="165"/>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2"/>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4"/>
                <w:szCs w:val="14"/>
                <w:color w:val="auto"/>
              </w:rPr>
            </w:pP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21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442,877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442,877</w:t>
            </w:r>
          </w:p>
        </w:tc>
        <w:tc>
          <w:tcPr>
            <w:tcW w:w="9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21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505,779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459,837</w:t>
            </w:r>
          </w:p>
        </w:tc>
        <w:tc>
          <w:tcPr>
            <w:tcW w:w="30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91,884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Vishal Chhibbar</w:t>
            </w:r>
          </w:p>
        </w:tc>
        <w:tc>
          <w:tcPr>
            <w:tcW w:w="21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221,189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200,836</w:t>
            </w:r>
          </w:p>
        </w:tc>
        <w:tc>
          <w:tcPr>
            <w:tcW w:w="304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40,706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21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352,053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319,548</w:t>
            </w:r>
          </w:p>
        </w:tc>
        <w:tc>
          <w:tcPr>
            <w:tcW w:w="30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65,010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Pavan Bagai</w:t>
            </w:r>
          </w:p>
        </w:tc>
        <w:tc>
          <w:tcPr>
            <w:tcW w:w="21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258,166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234,553</w:t>
            </w:r>
          </w:p>
        </w:tc>
        <w:tc>
          <w:tcPr>
            <w:tcW w:w="304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47,226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A. Bloom</w:t>
            </w:r>
          </w:p>
        </w:tc>
        <w:tc>
          <w:tcPr>
            <w:tcW w:w="21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500,000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453,268</w:t>
            </w:r>
          </w:p>
        </w:tc>
        <w:tc>
          <w:tcPr>
            <w:tcW w:w="304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93,465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restricted stock units granted was determined using a per share fair market value of $19.76 on February 2, 2011, and in the case of Messrs.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Chhibbar and Bagai, a conversion rate of 45.11 Rupees per U.S. dollar.</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 Incentives</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named executive officers have the chance to earn long-term equity incentive awards. Long-term incentive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2010, we granted restricted stock units to most of our employees under our 2006 Omnibus Award Plan, which we refer to as our 2006 Plan.</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Stock options align employee incentives with stockholders because options have value only if the stock price increases over time. Our ten-year options under our 2006 Plan are granted at the average of the high and low price on the trading day immediately prior to the date of grant. Stock options granted under our 2006 Plan generally vest over a four-year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date—what we call “Standard Graded Vesting.” Our Compensation Committee has, on occasion, altered the vesting cycle based on unique circumstances associated with a particular grant. For example, such occasions have arisen where there has been a delay in the finalization of an employee’s employment agreement or where we determined that it was appropriate to credit an employee for service performed by such executive prior to our Compensation Committee’s approval of such grant. The four-year vesting period helps focus employees on long-term growth and helps to retain key employees. Our 2006 Plan prohibits the repricing of stock options under our 2006 Plan without the approval of our stockholders.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Compensation Committee considered the following when making 2010 option grants:</w:t>
      </w:r>
    </w:p>
    <w:p>
      <w:pPr>
        <w:spacing w:after="0" w:line="88" w:lineRule="exact"/>
        <w:rPr>
          <w:sz w:val="20"/>
          <w:szCs w:val="20"/>
          <w:color w:val="auto"/>
        </w:rPr>
      </w:pPr>
    </w:p>
    <w:p>
      <w:pPr>
        <w:ind w:left="900" w:right="380" w:hanging="325"/>
        <w:spacing w:after="0" w:line="259"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Size</w:t>
      </w:r>
      <w:r>
        <w:rPr>
          <w:rFonts w:ascii="Times New Roman" w:cs="Times New Roman" w:eastAsia="Times New Roman" w:hAnsi="Times New Roman"/>
          <w:sz w:val="18"/>
          <w:szCs w:val="18"/>
          <w:color w:val="auto"/>
        </w:rPr>
        <w:t>. In determining the number of options to be granted to senior executive officers, our Compensation Committee takes into account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position, scope of managerial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51" w:lineRule="exact"/>
        <w:rPr>
          <w:rFonts w:ascii="Times New Roman" w:cs="Times New Roman" w:eastAsia="Times New Roman" w:hAnsi="Times New Roman"/>
          <w:sz w:val="18"/>
          <w:szCs w:val="18"/>
          <w:color w:val="auto"/>
        </w:rPr>
      </w:pPr>
    </w:p>
    <w:p>
      <w:pPr>
        <w:ind w:left="900" w:right="240" w:hanging="325"/>
        <w:spacing w:after="0" w:line="277"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Timing and Price</w:t>
      </w:r>
      <w:r>
        <w:rPr>
          <w:rFonts w:ascii="Times New Roman" w:cs="Times New Roman" w:eastAsia="Times New Roman" w:hAnsi="Times New Roman"/>
          <w:sz w:val="18"/>
          <w:szCs w:val="18"/>
          <w:color w:val="auto"/>
        </w:rPr>
        <w:t>. Our Compensation Committee’s procedure for the timing of equity grants (stock options, restricted stock,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or any other form of equity award permitted under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18"/>
          <w:szCs w:val="18"/>
          <w:color w:val="auto"/>
        </w:rPr>
        <w:t>our 2006 Plan) ensures that grant timing is not being manipulated to result in a price that is favorable to employees. The annual equity grant date for all eligible employees, including executive officers, is generally in and around the first quarter of each year (depending on when our Compensation Committee holds its pre-scheduled meeting or meetings discussed above). The grant date timing coincides with our calendar 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Exceptions to the annual equity grant date occur periodically for matters such as new hires of executive officers. The primary annual grant date is established by our Compensation Committee well in advance—typically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143"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Grants for new hires are generally made at the next scheduled Compensation Committee meeting after the joining date of such hire. In connection with the entry into an employment agreement with Mr. Bloom in July 2010, we granted Mr. Bloom a stock option in respect of 250,000 shares of our common stock, with a per share exercise price of $17.75 and Standard Graded Vesting on each anniversary of the grant date.</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Restricted stock unit awards offer executives the opportunity to receive shares of our common stock on the date that the restrictions lapse and serve both to reward and retain executives since the value of the restricted stock unit awards are linked to the price of our stock on the date that the restriction lapses. In addition, restricted stock unit awards are potentially less dilutive to stockholders’ equity since restricted stock unit awards are full value awards, and our Compensation Committee can award fewer restricted stock unit awards than an equivalent value of stock options. As with stock options, restricted stock unit awards provide a significant degree of alignment of interests between our executive officers and stockholders. Restricted stock unit awards have only been issued under our 2006 Plan. We grant restricted stock units instead of restricted stock so that our executives in India do not receive the shares until they are taxed on the shares. We extended this practice to all executives globally.</w:t>
      </w:r>
    </w:p>
    <w:p>
      <w:pPr>
        <w:spacing w:after="0" w:line="14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Grant values for individuals were determined based on individual performance and comparable market data. Consistent with our compensation philosophy, individuals at higher levels received a greater proportion of their total pay in the form of equity.</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In 2010 we approved a grant of 75,000 shares of restricted stock units to each founder executive officer, 25% of which vested on February 4, 2011 and the remainder of which will vest in additional 25% increments on each of February 4, 2012, February 4, 2013 and February 4, 2014.</w:t>
      </w:r>
    </w:p>
    <w:p>
      <w:pPr>
        <w:spacing w:after="0" w:line="120"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On February 4, 2010, we approved grants of 10,000, 12,500 and 8,000 shares of restricted stock units to Mr. Chhibbar, Mr. Bagai and Mr. de Villa, respectively, with Standard Graded Vesting on each anniversary of the grant date.</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global work force with a reasonable level of financial support in the event of illness or injury,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productivity and job satisfaction through programs that focus on work/life balance.</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benefits available for all U.S. employees and executive officers include customary medical and dental coverage, disability insurance and life insurance. In addition, our 401(k) Plan provides a reasonable level of retirement income reflecting employees’ careers with us. A number of our U.S. employees, including executive officers, participate in these plans.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cost of employee benefits is partially borne by our employees, including our executive officers.</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generally do not provide significant perquisites or personal benefits to executive officers other than our founder executive officers and our executive officers stationed in India. Each founder executive officer is provided a limited number of perquisites whose primary purpose is to minimize distractions from his attention to our important initiatives and to be competitive. A discussion of the benefits provided to the founder executive officers is provided under “Employment Agreements” on page 28.</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Severance Benefits</w:t>
      </w:r>
    </w:p>
    <w:p>
      <w:pPr>
        <w:spacing w:after="0" w:line="92"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currently employed by us is provided under “Potential Payments Upon Termination or Change in Control at End of 2010 Fiscal Year” on page 33.</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provided change in 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Deductibility Cap on Executive Compensation</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2" w:lineRule="exact"/>
        <w:rPr>
          <w:sz w:val="20"/>
          <w:szCs w:val="20"/>
          <w:color w:val="auto"/>
        </w:rPr>
      </w:pPr>
    </w:p>
    <w:p>
      <w:pPr>
        <w:jc w:val="both"/>
        <w:ind w:right="54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2010 Annual Meeting of Stockholders.</w:t>
      </w:r>
    </w:p>
    <w:p>
      <w:pPr>
        <w:spacing w:after="0" w:line="1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Steven B. Gruber (Chairman)</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Garen K. Staglin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Clyde W. Ostler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Kiran Karnik</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2010</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for compensation earned in fiscal years 2008, 2009 and 2010 by our named executive officers.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Pension</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and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qualified</w:t>
            </w: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All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w:t>
            </w: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2"/>
                <w:szCs w:val="12"/>
                <w:color w:val="auto"/>
              </w:rPr>
            </w:pPr>
          </w:p>
        </w:tc>
        <w:tc>
          <w:tcPr>
            <w:tcW w:w="80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Bonus</w:t>
            </w:r>
          </w:p>
        </w:tc>
        <w:tc>
          <w:tcPr>
            <w:tcW w:w="76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60" w:type="dxa"/>
            <w:vAlign w:val="bottom"/>
          </w:tcPr>
          <w:p>
            <w:pPr>
              <w:spacing w:after="0"/>
              <w:rPr>
                <w:sz w:val="12"/>
                <w:szCs w:val="12"/>
                <w:color w:val="auto"/>
              </w:rPr>
            </w:pPr>
          </w:p>
        </w:tc>
        <w:tc>
          <w:tcPr>
            <w:tcW w:w="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sation</w:t>
            </w:r>
          </w:p>
        </w:tc>
        <w:tc>
          <w:tcPr>
            <w:tcW w:w="7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rPr>
              <w:t>sation</w:t>
            </w:r>
          </w:p>
        </w:tc>
        <w:tc>
          <w:tcPr>
            <w:tcW w:w="92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sation</w:t>
            </w:r>
          </w:p>
        </w:tc>
        <w:tc>
          <w:tcPr>
            <w:tcW w:w="64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49"/>
        </w:trPr>
        <w:tc>
          <w:tcPr>
            <w:tcW w:w="4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7"/>
              </w:rPr>
              <w:t>Year</w:t>
            </w:r>
          </w:p>
        </w:tc>
        <w:tc>
          <w:tcPr>
            <w:tcW w:w="6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($)(5)</w:t>
            </w:r>
          </w:p>
        </w:tc>
        <w:tc>
          <w:tcPr>
            <w:tcW w:w="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Earning</w:t>
            </w:r>
          </w:p>
        </w:tc>
        <w:tc>
          <w:tcPr>
            <w:tcW w:w="54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(a)</w:t>
            </w:r>
          </w:p>
        </w:tc>
        <w:tc>
          <w:tcPr>
            <w:tcW w:w="3820" w:type="dxa"/>
            <w:vAlign w:val="bottom"/>
          </w:tcPr>
          <w:p>
            <w:pPr>
              <w:spacing w:after="0"/>
              <w:rPr>
                <w:sz w:val="14"/>
                <w:szCs w:val="14"/>
                <w:color w:val="auto"/>
              </w:rPr>
            </w:pP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(b)</w:t>
            </w:r>
          </w:p>
        </w:tc>
        <w:tc>
          <w:tcPr>
            <w:tcW w:w="180" w:type="dxa"/>
            <w:vAlign w:val="bottom"/>
          </w:tcPr>
          <w:p>
            <w:pPr>
              <w:spacing w:after="0"/>
              <w:rPr>
                <w:sz w:val="14"/>
                <w:szCs w:val="14"/>
                <w:color w:val="auto"/>
              </w:rPr>
            </w:pPr>
          </w:p>
        </w:tc>
        <w:tc>
          <w:tcPr>
            <w:tcW w:w="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w:t>
            </w:r>
          </w:p>
        </w:tc>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 (3)</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 (5)</w:t>
            </w:r>
          </w:p>
        </w:tc>
        <w:tc>
          <w:tcPr>
            <w:tcW w:w="160" w:type="dxa"/>
            <w:vAlign w:val="bottom"/>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 (6)</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2"/>
              </w:rPr>
              <w:t>($</w:t>
            </w:r>
            <w:r>
              <w:rPr>
                <w:rFonts w:ascii="Times New Roman" w:cs="Times New Roman" w:eastAsia="Times New Roman" w:hAnsi="Times New Roman"/>
                <w:sz w:val="14"/>
                <w:szCs w:val="14"/>
                <w:b w:val="1"/>
                <w:bCs w:val="1"/>
                <w:color w:val="auto"/>
                <w:w w:val="92"/>
              </w:rPr>
              <w:t>) (h)(11)</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(j)</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Vikram Talwar</w:t>
            </w:r>
          </w:p>
        </w:tc>
        <w:tc>
          <w:tcPr>
            <w:tcW w:w="3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2010</w:t>
            </w:r>
          </w:p>
        </w:tc>
        <w:tc>
          <w:tcPr>
            <w:tcW w:w="660" w:type="dxa"/>
            <w:vAlign w:val="bottom"/>
            <w:gridSpan w:val="2"/>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w w:val="92"/>
              </w:rPr>
              <w:t>420,000</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w w:val="99"/>
              </w:rPr>
              <w:t>1,383,000</w:t>
            </w: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863,032</w:t>
            </w:r>
          </w:p>
        </w:tc>
        <w:tc>
          <w:tcPr>
            <w:tcW w:w="880" w:type="dxa"/>
            <w:vAlign w:val="bottom"/>
            <w:gridSpan w:val="3"/>
            <w:shd w:val="clear" w:color="auto" w:fill="CCEEFF"/>
          </w:tcPr>
          <w:p>
            <w:pPr>
              <w:ind w:left="260"/>
              <w:spacing w:after="0" w:line="136" w:lineRule="exact"/>
              <w:rPr>
                <w:sz w:val="20"/>
                <w:szCs w:val="20"/>
                <w:color w:val="auto"/>
              </w:rPr>
            </w:pPr>
            <w:r>
              <w:rPr>
                <w:rFonts w:ascii="Times New Roman" w:cs="Times New Roman" w:eastAsia="Times New Roman" w:hAnsi="Times New Roman"/>
                <w:sz w:val="14"/>
                <w:szCs w:val="14"/>
                <w:color w:val="auto"/>
              </w:rPr>
              <w:t>442,877</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213,048(7)</w:t>
            </w: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2,458,925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Executive Chairman</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2009</w:t>
            </w:r>
          </w:p>
        </w:tc>
        <w:tc>
          <w:tcPr>
            <w:tcW w:w="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92"/>
              </w:rPr>
              <w:t>420,000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1,090,345</w:t>
            </w:r>
          </w:p>
        </w:tc>
        <w:tc>
          <w:tcPr>
            <w:tcW w:w="880" w:type="dxa"/>
            <w:vAlign w:val="bottom"/>
            <w:gridSpan w:val="3"/>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393,246</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169,860</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1,846,138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2008</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2"/>
              </w:rPr>
              <w:t>420,000</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237,510</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132,075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1,879,930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Rohit Kapoor</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2010</w:t>
            </w:r>
          </w:p>
        </w:tc>
        <w:tc>
          <w:tcPr>
            <w:tcW w:w="660" w:type="dxa"/>
            <w:vAlign w:val="bottom"/>
            <w:gridSpan w:val="2"/>
          </w:tcPr>
          <w:p>
            <w:pPr>
              <w:ind w:left="220"/>
              <w:spacing w:after="0" w:line="136" w:lineRule="exact"/>
              <w:rPr>
                <w:sz w:val="20"/>
                <w:szCs w:val="20"/>
                <w:color w:val="auto"/>
              </w:rPr>
            </w:pPr>
            <w:r>
              <w:rPr>
                <w:rFonts w:ascii="Times New Roman" w:cs="Times New Roman" w:eastAsia="Times New Roman" w:hAnsi="Times New Roman"/>
                <w:sz w:val="14"/>
                <w:szCs w:val="14"/>
                <w:color w:val="auto"/>
                <w:w w:val="92"/>
              </w:rPr>
              <w:t>483,781</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w w:val="99"/>
              </w:rPr>
              <w:t>1,383,000</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863,032</w:t>
            </w:r>
          </w:p>
        </w:tc>
        <w:tc>
          <w:tcPr>
            <w:tcW w:w="880" w:type="dxa"/>
            <w:vAlign w:val="bottom"/>
            <w:gridSpan w:val="3"/>
          </w:tcPr>
          <w:p>
            <w:pPr>
              <w:ind w:left="260"/>
              <w:spacing w:after="0" w:line="136" w:lineRule="exact"/>
              <w:rPr>
                <w:sz w:val="20"/>
                <w:szCs w:val="20"/>
                <w:color w:val="auto"/>
              </w:rPr>
            </w:pPr>
            <w:r>
              <w:rPr>
                <w:rFonts w:ascii="Times New Roman" w:cs="Times New Roman" w:eastAsia="Times New Roman" w:hAnsi="Times New Roman"/>
                <w:sz w:val="14"/>
                <w:szCs w:val="14"/>
                <w:color w:val="auto"/>
              </w:rPr>
              <w:t>459,837</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118,097(8)</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2,444,715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President &amp; CEO</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2009</w:t>
            </w:r>
          </w:p>
        </w:tc>
        <w:tc>
          <w:tcPr>
            <w:tcW w:w="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w w:val="92"/>
              </w:rPr>
              <w:t>420,000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1,090,345</w:t>
            </w:r>
          </w:p>
        </w:tc>
        <w:tc>
          <w:tcPr>
            <w:tcW w:w="88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color w:val="auto"/>
              </w:rPr>
              <w:t>414,414</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99,055</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1,796,501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2008</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2"/>
              </w:rPr>
              <w:t>420,000</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244,125</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157,317</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1,911,787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Vishal Chhibbar(1)</w:t>
            </w:r>
          </w:p>
        </w:tc>
        <w:tc>
          <w:tcPr>
            <w:tcW w:w="3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9"/>
              </w:rPr>
              <w:t>2010</w:t>
            </w:r>
          </w:p>
        </w:tc>
        <w:tc>
          <w:tcPr>
            <w:tcW w:w="660" w:type="dxa"/>
            <w:vAlign w:val="bottom"/>
            <w:gridSpan w:val="2"/>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w w:val="92"/>
              </w:rPr>
              <w:t>243,415</w:t>
            </w:r>
          </w:p>
        </w:tc>
        <w:tc>
          <w:tcPr>
            <w:tcW w:w="980" w:type="dxa"/>
            <w:vAlign w:val="bottom"/>
            <w:gridSpan w:val="3"/>
            <w:shd w:val="clear" w:color="auto" w:fill="CCEEFF"/>
          </w:tcPr>
          <w:p>
            <w:pPr>
              <w:jc w:val="right"/>
              <w:ind w:right="320"/>
              <w:spacing w:after="0" w:line="137" w:lineRule="exact"/>
              <w:rPr>
                <w:sz w:val="20"/>
                <w:szCs w:val="20"/>
                <w:color w:val="auto"/>
              </w:rPr>
            </w:pPr>
            <w:r>
              <w:rPr>
                <w:rFonts w:ascii="Times New Roman" w:cs="Times New Roman" w:eastAsia="Times New Roman" w:hAnsi="Times New Roman"/>
                <w:sz w:val="14"/>
                <w:szCs w:val="14"/>
                <w:color w:val="auto"/>
              </w:rPr>
              <w:t>26,864</w:t>
            </w:r>
          </w:p>
        </w:tc>
        <w:tc>
          <w:tcPr>
            <w:tcW w:w="76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4"/>
                <w:szCs w:val="14"/>
                <w:color w:val="auto"/>
              </w:rPr>
              <w:t>184,400</w:t>
            </w: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420,500</w:t>
            </w:r>
          </w:p>
        </w:tc>
        <w:tc>
          <w:tcPr>
            <w:tcW w:w="880" w:type="dxa"/>
            <w:vAlign w:val="bottom"/>
            <w:gridSpan w:val="3"/>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200,836</w:t>
            </w:r>
          </w:p>
        </w:tc>
        <w:tc>
          <w:tcPr>
            <w:tcW w:w="78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4"/>
                <w:szCs w:val="14"/>
                <w:color w:val="auto"/>
              </w:rPr>
              <w:t>6,657</w:t>
            </w:r>
          </w:p>
        </w:tc>
        <w:tc>
          <w:tcPr>
            <w:tcW w:w="920" w:type="dxa"/>
            <w:vAlign w:val="bottom"/>
            <w:gridSpan w:val="2"/>
            <w:shd w:val="clear" w:color="auto" w:fill="CCEEFF"/>
          </w:tcPr>
          <w:p>
            <w:pPr>
              <w:jc w:val="right"/>
              <w:ind w:right="220"/>
              <w:spacing w:after="0" w:line="137" w:lineRule="exact"/>
              <w:rPr>
                <w:sz w:val="20"/>
                <w:szCs w:val="20"/>
                <w:color w:val="auto"/>
              </w:rPr>
            </w:pPr>
            <w:r>
              <w:rPr>
                <w:rFonts w:ascii="Times New Roman" w:cs="Times New Roman" w:eastAsia="Times New Roman" w:hAnsi="Times New Roman"/>
                <w:sz w:val="14"/>
                <w:szCs w:val="14"/>
                <w:color w:val="auto"/>
              </w:rPr>
              <w:t>63,655(9)</w:t>
            </w: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698,959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2009</w:t>
            </w:r>
          </w:p>
        </w:tc>
        <w:tc>
          <w:tcPr>
            <w:tcW w:w="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92"/>
              </w:rPr>
              <w:t>151,033</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119,287</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6,653</w:t>
            </w: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94,187</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818,524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2008</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Pavan Bagai(2)</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2010</w:t>
            </w:r>
          </w:p>
        </w:tc>
        <w:tc>
          <w:tcPr>
            <w:tcW w:w="660" w:type="dxa"/>
            <w:vAlign w:val="bottom"/>
            <w:gridSpan w:val="2"/>
          </w:tcPr>
          <w:p>
            <w:pPr>
              <w:ind w:left="220"/>
              <w:spacing w:after="0" w:line="136" w:lineRule="exact"/>
              <w:rPr>
                <w:sz w:val="20"/>
                <w:szCs w:val="20"/>
                <w:color w:val="auto"/>
              </w:rPr>
            </w:pPr>
            <w:r>
              <w:rPr>
                <w:rFonts w:ascii="Times New Roman" w:cs="Times New Roman" w:eastAsia="Times New Roman" w:hAnsi="Times New Roman"/>
                <w:sz w:val="14"/>
                <w:szCs w:val="14"/>
                <w:color w:val="auto"/>
                <w:w w:val="92"/>
              </w:rPr>
              <w:t>274,564</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rPr>
              <w:t>230,500</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204,050</w:t>
            </w:r>
          </w:p>
        </w:tc>
        <w:tc>
          <w:tcPr>
            <w:tcW w:w="880" w:type="dxa"/>
            <w:vAlign w:val="bottom"/>
            <w:gridSpan w:val="3"/>
          </w:tcPr>
          <w:p>
            <w:pPr>
              <w:ind w:left="260"/>
              <w:spacing w:after="0" w:line="136" w:lineRule="exact"/>
              <w:rPr>
                <w:sz w:val="20"/>
                <w:szCs w:val="20"/>
                <w:color w:val="auto"/>
              </w:rPr>
            </w:pPr>
            <w:r>
              <w:rPr>
                <w:rFonts w:ascii="Times New Roman" w:cs="Times New Roman" w:eastAsia="Times New Roman" w:hAnsi="Times New Roman"/>
                <w:sz w:val="14"/>
                <w:szCs w:val="14"/>
                <w:color w:val="auto"/>
              </w:rPr>
              <w:t>234,553</w:t>
            </w:r>
          </w:p>
        </w:tc>
        <w:tc>
          <w:tcPr>
            <w:tcW w:w="78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4"/>
                <w:szCs w:val="14"/>
                <w:color w:val="auto"/>
              </w:rPr>
              <w:t>10,162</w:t>
            </w:r>
          </w:p>
        </w:tc>
        <w:tc>
          <w:tcPr>
            <w:tcW w:w="9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79,469(10)</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829,248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Chief Operating Officer</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2009</w:t>
            </w:r>
          </w:p>
        </w:tc>
        <w:tc>
          <w:tcPr>
            <w:tcW w:w="6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w w:val="92"/>
              </w:rPr>
              <w:t>224,719</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color w:val="auto"/>
              </w:rPr>
              <w:t>195,377</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12,419</w:t>
            </w: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65,128</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701,693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2008</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2"/>
              </w:rPr>
              <w:t>180,615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103,760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9,221</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60,875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668,877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0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Rembert de Villa</w:t>
            </w:r>
          </w:p>
        </w:tc>
        <w:tc>
          <w:tcPr>
            <w:tcW w:w="3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9"/>
              </w:rPr>
              <w:t>2010</w:t>
            </w:r>
          </w:p>
        </w:tc>
        <w:tc>
          <w:tcPr>
            <w:tcW w:w="660" w:type="dxa"/>
            <w:vAlign w:val="bottom"/>
            <w:gridSpan w:val="2"/>
            <w:shd w:val="clear" w:color="auto" w:fill="CCEEFF"/>
          </w:tcPr>
          <w:p>
            <w:pPr>
              <w:ind w:left="220"/>
              <w:spacing w:after="0" w:line="137" w:lineRule="exact"/>
              <w:rPr>
                <w:sz w:val="20"/>
                <w:szCs w:val="20"/>
                <w:color w:val="auto"/>
              </w:rPr>
            </w:pPr>
            <w:r>
              <w:rPr>
                <w:rFonts w:ascii="Times New Roman" w:cs="Times New Roman" w:eastAsia="Times New Roman" w:hAnsi="Times New Roman"/>
                <w:sz w:val="14"/>
                <w:szCs w:val="14"/>
                <w:color w:val="auto"/>
                <w:w w:val="92"/>
              </w:rPr>
              <w:t>359,757</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4"/>
                <w:szCs w:val="14"/>
                <w:color w:val="auto"/>
              </w:rPr>
              <w:t>147,520</w:t>
            </w: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164,146</w:t>
            </w:r>
          </w:p>
        </w:tc>
        <w:tc>
          <w:tcPr>
            <w:tcW w:w="880" w:type="dxa"/>
            <w:vAlign w:val="bottom"/>
            <w:gridSpan w:val="3"/>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319,548</w:t>
            </w: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4"/>
                <w:szCs w:val="14"/>
                <w:color w:val="auto"/>
              </w:rPr>
              <w:t>4,354(12)</w:t>
            </w: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831,179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Global Head of Client Management</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2009</w:t>
            </w:r>
          </w:p>
        </w:tc>
        <w:tc>
          <w:tcPr>
            <w:tcW w:w="6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w w:val="92"/>
              </w:rPr>
              <w:t>350,000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95,260</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279,641</w:t>
            </w:r>
          </w:p>
        </w:tc>
        <w:tc>
          <w:tcPr>
            <w:tcW w:w="880" w:type="dxa"/>
            <w:vAlign w:val="bottom"/>
            <w:gridSpan w:val="3"/>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215,600</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18,243</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747,989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2008</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2"/>
              </w:rPr>
              <w:t>249,263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194,606</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2,184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820,953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William A. Bloom</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2010</w:t>
            </w:r>
          </w:p>
        </w:tc>
        <w:tc>
          <w:tcPr>
            <w:tcW w:w="660" w:type="dxa"/>
            <w:vAlign w:val="bottom"/>
            <w:gridSpan w:val="2"/>
          </w:tcPr>
          <w:p>
            <w:pPr>
              <w:ind w:left="220"/>
              <w:spacing w:after="0" w:line="136" w:lineRule="exact"/>
              <w:rPr>
                <w:sz w:val="20"/>
                <w:szCs w:val="20"/>
                <w:color w:val="auto"/>
              </w:rPr>
            </w:pPr>
            <w:r>
              <w:rPr>
                <w:rFonts w:ascii="Times New Roman" w:cs="Times New Roman" w:eastAsia="Times New Roman" w:hAnsi="Times New Roman"/>
                <w:sz w:val="14"/>
                <w:szCs w:val="14"/>
                <w:color w:val="auto"/>
                <w:w w:val="92"/>
              </w:rPr>
              <w:t>236,986</w:t>
            </w:r>
          </w:p>
        </w:tc>
        <w:tc>
          <w:tcPr>
            <w:tcW w:w="980" w:type="dxa"/>
            <w:vAlign w:val="bottom"/>
            <w:gridSpan w:val="3"/>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453,268(4)</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1,732,177</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29,051(13)</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2,451,483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EVP, Global Client Development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right="100" w:hanging="332"/>
        <w:spacing w:after="0" w:line="241"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(c) for Mr. Chhibbar include $61,255 that was available as part of an automobile allowance, $11,528 of leave travel allowance, $336 that was available as a medical allowance and $31,905 of a supplementary allowance, and which in each case Mr. Chhibbar elected to receive instead in cash.</w:t>
      </w:r>
    </w:p>
    <w:p>
      <w:pPr>
        <w:spacing w:after="0" w:line="41" w:lineRule="exact"/>
        <w:rPr>
          <w:rFonts w:ascii="Times New Roman" w:cs="Times New Roman" w:eastAsia="Times New Roman" w:hAnsi="Times New Roman"/>
          <w:sz w:val="14"/>
          <w:szCs w:val="14"/>
          <w:color w:val="auto"/>
        </w:rPr>
      </w:pPr>
    </w:p>
    <w:p>
      <w:pPr>
        <w:ind w:left="340" w:right="340" w:hanging="332"/>
        <w:spacing w:after="0" w:line="241"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(c) for Mr. Bagai include $47,047 that was available as part of an automobile allowance, $9,944 of leave travel allowance, $336 that was available as a medical allowance and $97,856 of a supplementary allowance, and which in each case Mr. Bagai elected to receive instead in cash.</w:t>
      </w:r>
    </w:p>
    <w:p>
      <w:pPr>
        <w:spacing w:after="0" w:line="41" w:lineRule="exact"/>
        <w:rPr>
          <w:rFonts w:ascii="Times New Roman" w:cs="Times New Roman" w:eastAsia="Times New Roman" w:hAnsi="Times New Roman"/>
          <w:sz w:val="14"/>
          <w:szCs w:val="14"/>
          <w:color w:val="auto"/>
        </w:rPr>
      </w:pPr>
    </w:p>
    <w:p>
      <w:pPr>
        <w:ind w:left="340" w:right="260" w:hanging="332"/>
        <w:spacing w:after="0" w:line="227"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(e) reflect the total grant date fair value of awards recognized for financial statement reporting purposes for the fiscal years ended December 31, 2008, 2009 and 2010, in accordance with FASB ASC Topic 718 (disregarding any forfeiture assumptions). Assumptions used in the calculation of these amounts are included (i) for 2010, in footnotes 2 and 13 to the audited financial statements for the fiscal year ended December 31, 2010 included in our Annual Report on Form 10-K filed with the Securities and Exchange Commission on March 17, 2011; (ii) for 2009, in footnotes 2 and 13 to the audited financial statements for the fiscal year ended December 31, 2009 included in our Annual Report on Form 10-K filed with the Securities and Exchange Commission on March 16, 2010 and (iii) for 2008, in footnotes 2 and 11 to the audited financial statements for the fiscal year ended December 31, 2008 included in our Annual Report on Form 10-K filed with the Securities and Exchange Commission on March 16, 2009.</w:t>
      </w:r>
    </w:p>
    <w:p>
      <w:pPr>
        <w:spacing w:after="0" w:line="4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cash bonus paid for 2010 pursuant to Mr. Bloom’s employment agreement.</w:t>
      </w:r>
    </w:p>
    <w:p>
      <w:pPr>
        <w:spacing w:after="0" w:line="55" w:lineRule="exact"/>
        <w:rPr>
          <w:rFonts w:ascii="Times New Roman" w:cs="Times New Roman" w:eastAsia="Times New Roman" w:hAnsi="Times New Roman"/>
          <w:sz w:val="14"/>
          <w:szCs w:val="14"/>
          <w:color w:val="auto"/>
        </w:rPr>
      </w:pPr>
    </w:p>
    <w:p>
      <w:pPr>
        <w:ind w:left="340" w:hanging="332"/>
        <w:spacing w:after="0" w:line="227"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(f) reflect the total grant date fair value of awards recognized for financial statement reporting purposes for the fiscal years ended December 31, 2008, 2009 and 2010, in accordance with FASB ASC Topic 718 (disregarding any forfeiture assumptions). Assumptions used in the calculation of these amounts are included (i) for 2010, in footnotes 2 and 13 to the audited financial statements for the fiscal year ended December 31, 2010 included in our annual Report on Form 10-K filed with the Securities and Exchange Commission on March 16, 2010; (ii) for 2009, in footnotes 2 and 13 to the audited financial statements for the fiscal year ended December 31, 2009 included in our Annual Report on Form 10-K filed with the Securities and Exchange Commission on March 16, 2010 and (iii) for 2008, in footnotes 2 and 11 to the audited financial statements for the fiscal year ended December 31, 2008 included in our Annual Report on Form 10-K filed with the Securities and Exchange Commission on March 16, 2009.</w:t>
      </w:r>
    </w:p>
    <w:p>
      <w:pPr>
        <w:spacing w:after="0" w:line="4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column (g) reflect cash bonuses earned. For details of our cash bonus program, see “Compensation Discussion and Analysis—Incentive Bonus” on page 19.</w:t>
      </w:r>
    </w:p>
    <w:p>
      <w:pPr>
        <w:spacing w:after="0" w:line="55" w:lineRule="exact"/>
        <w:rPr>
          <w:rFonts w:ascii="Times New Roman" w:cs="Times New Roman" w:eastAsia="Times New Roman" w:hAnsi="Times New Roman"/>
          <w:sz w:val="14"/>
          <w:szCs w:val="14"/>
          <w:color w:val="auto"/>
        </w:rPr>
      </w:pPr>
    </w:p>
    <w:p>
      <w:pPr>
        <w:ind w:left="340" w:right="60" w:hanging="332"/>
        <w:spacing w:after="0" w:line="234" w:lineRule="auto"/>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for Vikram Talwar includes business class airfare between India and the United States for Mr. Talwar and his family in the total amount of $44,460, and telephone charges of $27,629. Other items reflected in column (i) include a travel allowance for Mr. Talwar’s spouse in the amount of $39,194, car payments and related insurance and fuel and toll expenses in the United States, car payments, associated automobile insurance, driver’s wages and fuel charges for 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340" w:right="80"/>
        <w:spacing w:after="0" w:line="241" w:lineRule="auto"/>
        <w:rPr>
          <w:sz w:val="20"/>
          <w:szCs w:val="20"/>
          <w:color w:val="auto"/>
        </w:rPr>
      </w:pPr>
      <w:r>
        <w:rPr>
          <w:rFonts w:ascii="Times New Roman" w:cs="Times New Roman" w:eastAsia="Times New Roman" w:hAnsi="Times New Roman"/>
          <w:sz w:val="14"/>
          <w:szCs w:val="14"/>
          <w:color w:val="auto"/>
        </w:rPr>
        <w:t>automobile in India in the amount of $39,924, employer contributions to our 401(k) plan and payments toward personal security protection in India, life insurance premiums, medical insurance premiums, payments towards expenses while traveling outside of India for work and payment of a club membership.</w:t>
      </w:r>
    </w:p>
    <w:p>
      <w:pPr>
        <w:spacing w:after="0" w:line="41" w:lineRule="exact"/>
        <w:rPr>
          <w:sz w:val="20"/>
          <w:szCs w:val="20"/>
          <w:color w:val="auto"/>
        </w:rPr>
      </w:pPr>
    </w:p>
    <w:p>
      <w:pPr>
        <w:ind w:left="340" w:right="40" w:hanging="332"/>
        <w:spacing w:after="0" w:line="231"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for Rohit Kapoor includes business class airfare between India and the United States for Mr. Kapoor and his family in the amount of $27,141 and car payments, associated automobile insurance, driver’s wages and fuel charges for an automobile in India in the amount of $29,887. Other items include car payments and related insurance, fuel, toll and repair expenses in the United States, employer contributions to our 401(k) plan, life insurance premiums, medical insurance premiums, automobile parking expenses, expenses while traveling out of the United States for work, personal security protection in India payment of a club membership and home internet costs.</w:t>
      </w:r>
    </w:p>
    <w:p>
      <w:pPr>
        <w:spacing w:after="0" w:line="41" w:lineRule="exact"/>
        <w:rPr>
          <w:rFonts w:ascii="Times New Roman" w:cs="Times New Roman" w:eastAsia="Times New Roman" w:hAnsi="Times New Roman"/>
          <w:sz w:val="14"/>
          <w:szCs w:val="14"/>
          <w:color w:val="auto"/>
        </w:rPr>
      </w:pPr>
    </w:p>
    <w:p>
      <w:pPr>
        <w:ind w:left="340" w:right="40" w:hanging="332"/>
        <w:spacing w:after="0" w:line="231"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for Vishal Chhibbar includes $29,524 for a housing allowance, $16,607 in contributions under an Indian provident plan which is required under Indian law, reimbursement for tax services, automobile insurance, driver’s wages and fuel, payments for expenses when travelling for work, spousal travel to company events and telephone costs. Information regarding the Indian provident plan may be found in Note 10 to the audited financial statements for the fiscal year ended December 31, 2010 included in our Annual Report on Form 10-K filed with the Securities and Exchange Commission on March 16, 2011.</w:t>
      </w:r>
    </w:p>
    <w:p>
      <w:pPr>
        <w:spacing w:after="0" w:line="41" w:lineRule="exact"/>
        <w:rPr>
          <w:rFonts w:ascii="Times New Roman" w:cs="Times New Roman" w:eastAsia="Times New Roman" w:hAnsi="Times New Roman"/>
          <w:sz w:val="14"/>
          <w:szCs w:val="14"/>
          <w:color w:val="auto"/>
        </w:rPr>
      </w:pPr>
    </w:p>
    <w:p>
      <w:pPr>
        <w:ind w:left="340" w:right="40" w:hanging="332"/>
        <w:spacing w:after="0" w:line="234"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shown in column (i) for Pavan Bagai includes $41,154 for a housing allowance, $14,326 in contributions under an Indian provident plan which is required under Indian law, reimbursement for tax services, automobile insurance, driver’s wages and fuel, payments for expenses when travelling for work, spousal travel to company events and telephone costs. Information regarding the Indian provident plan may be found under “Pension Benefits” on page 32.</w:t>
      </w:r>
    </w:p>
    <w:p>
      <w:pPr>
        <w:spacing w:after="0" w:line="42" w:lineRule="exact"/>
        <w:rPr>
          <w:rFonts w:ascii="Times New Roman" w:cs="Times New Roman" w:eastAsia="Times New Roman" w:hAnsi="Times New Roman"/>
          <w:sz w:val="14"/>
          <w:szCs w:val="14"/>
          <w:color w:val="auto"/>
        </w:rPr>
      </w:pPr>
    </w:p>
    <w:p>
      <w:pPr>
        <w:ind w:left="340" w:right="340" w:hanging="332"/>
        <w:spacing w:after="0" w:line="241"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present value of accruals under our Indian Gratuity Plan. Information regarding our Gratuity Plan (including the assumptions used to calculate these amounts listed in column (h)) may be found under “Pension Benefits” on page 32.</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employer contributions to life insurance and medical insurance premiums.</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$10,164 for tax planning and legal fees, as well as housing assistance, $2,748 for spousal travel to company events, employer contributions to life insurance and medical insurance premiums.</w:t>
      </w:r>
    </w:p>
    <w:p>
      <w:pPr>
        <w:spacing w:after="0" w:line="1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For this executive compensation disclosure, U.S. dollar figures have been converted from Indian rupees at a rate of 44.71 rupees to $1.00, the rupee to U.S. dollar exchange rate in effect as on December 31, 2010.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Table for Fiscal Year 2010</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grants of stock and option awards and non-equity incentive plan awards granted to our named executive officers during fiscal year 2010: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Estimated Future Payouts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20" w:type="dxa"/>
            <w:vAlign w:val="bottom"/>
            <w:gridSpan w:val="6"/>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Non-Equity Incentive</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Plan Awards(1)</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Closing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vMerge w:val="restart"/>
          </w:tcPr>
          <w:p>
            <w:pPr>
              <w:spacing w:after="0"/>
              <w:rPr>
                <w:sz w:val="2"/>
                <w:szCs w:val="2"/>
                <w:color w:val="auto"/>
              </w:rPr>
            </w:pPr>
          </w:p>
        </w:tc>
        <w:tc>
          <w:tcPr>
            <w:tcW w:w="66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00" w:type="dxa"/>
            <w:vAlign w:val="bottom"/>
            <w:vMerge w:val="restart"/>
          </w:tcPr>
          <w:p>
            <w:pPr>
              <w:spacing w:after="0"/>
              <w:rPr>
                <w:sz w:val="2"/>
                <w:szCs w:val="2"/>
                <w:color w:val="auto"/>
              </w:rPr>
            </w:pPr>
          </w:p>
        </w:tc>
        <w:tc>
          <w:tcPr>
            <w:tcW w:w="680" w:type="dxa"/>
            <w:vAlign w:val="bottom"/>
            <w:gridSpan w:val="2"/>
            <w:vMerge w:val="restart"/>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w w:val="98"/>
              </w:rPr>
              <w:t>or Base</w:t>
            </w:r>
          </w:p>
        </w:tc>
        <w:tc>
          <w:tcPr>
            <w:tcW w:w="660" w:type="dxa"/>
            <w:vAlign w:val="bottom"/>
            <w:gridSpan w:val="2"/>
            <w:vMerge w:val="restart"/>
          </w:tcPr>
          <w:p>
            <w:pPr>
              <w:jc w:val="center"/>
              <w:ind w:right="180"/>
              <w:spacing w:after="0" w:line="132"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860" w:type="dxa"/>
            <w:vAlign w:val="bottom"/>
            <w:gridSpan w:val="2"/>
            <w:vMerge w:val="restart"/>
          </w:tcPr>
          <w:p>
            <w:pPr>
              <w:jc w:val="center"/>
              <w:ind w:right="80"/>
              <w:spacing w:after="0" w:line="132"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Stock</w:t>
            </w: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hold</w:t>
            </w:r>
          </w:p>
        </w:tc>
        <w:tc>
          <w:tcPr>
            <w:tcW w:w="16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and Option</w:t>
            </w:r>
          </w:p>
        </w:tc>
        <w:tc>
          <w:tcPr>
            <w:tcW w:w="0" w:type="dxa"/>
            <w:vAlign w:val="bottom"/>
          </w:tcPr>
          <w:p>
            <w:pPr>
              <w:spacing w:after="0"/>
              <w:rPr>
                <w:sz w:val="1"/>
                <w:szCs w:val="1"/>
                <w:color w:val="auto"/>
              </w:rPr>
            </w:pPr>
          </w:p>
        </w:tc>
      </w:tr>
      <w:tr>
        <w:trPr>
          <w:trHeight w:val="138"/>
        </w:trPr>
        <w:tc>
          <w:tcPr>
            <w:tcW w:w="4420" w:type="dxa"/>
            <w:vAlign w:val="bottom"/>
            <w:gridSpan w:val="3"/>
            <w:vMerge w:val="continue"/>
          </w:tcPr>
          <w:p>
            <w:pPr>
              <w:spacing w:after="0"/>
              <w:rPr>
                <w:sz w:val="12"/>
                <w:szCs w:val="12"/>
                <w:color w:val="auto"/>
              </w:rPr>
            </w:pPr>
          </w:p>
        </w:tc>
        <w:tc>
          <w:tcPr>
            <w:tcW w:w="9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380" w:type="dxa"/>
            <w:vAlign w:val="bottom"/>
          </w:tcPr>
          <w:p>
            <w:pPr>
              <w:jc w:val="right"/>
              <w:ind w:right="3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172"/>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20" w:type="dxa"/>
            <w:vAlign w:val="bottom"/>
          </w:tcPr>
          <w:p>
            <w:pPr>
              <w:jc w:val="right"/>
              <w:ind w:right="139"/>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860" w:type="dxa"/>
            <w:vAlign w:val="bottom"/>
            <w:gridSpan w:val="2"/>
          </w:tcPr>
          <w:p>
            <w:pPr>
              <w:jc w:val="center"/>
              <w:ind w:left="102"/>
              <w:spacing w:after="0" w:line="139"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rPr>
              <w:t>($/Sh)</w:t>
            </w:r>
          </w:p>
        </w:tc>
        <w:tc>
          <w:tcPr>
            <w:tcW w:w="66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6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3"/>
              </w:rPr>
              <w:t>Awards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w:t>
            </w:r>
          </w:p>
        </w:tc>
        <w:tc>
          <w:tcPr>
            <w:tcW w:w="4040" w:type="dxa"/>
            <w:vAlign w:val="bottom"/>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(2a)</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(2b)</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(2c)</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(3)(k)</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2/4/2010</w:t>
            </w: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630,000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2/4/2010</w:t>
            </w:r>
          </w:p>
        </w:tc>
        <w:tc>
          <w:tcPr>
            <w:tcW w:w="3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375,000</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Vishal Chhibbar</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2/4/2010</w:t>
            </w: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162,156</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324,312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2/4/2010</w:t>
            </w:r>
          </w:p>
        </w:tc>
        <w:tc>
          <w:tcPr>
            <w:tcW w:w="3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184,522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369,045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2/4/2010</w:t>
            </w: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254,065</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508,130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A. Bloom</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7/12/2010</w:t>
            </w:r>
          </w:p>
        </w:tc>
        <w:tc>
          <w:tcPr>
            <w:tcW w:w="3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375,000</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5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17.75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17.72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500" w:hanging="452"/>
        <w:spacing w:after="0" w:line="27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target and maximum cash bonuses set for 2010. For details of our cash bonus program, see “Compensation Discussion and Analysis—Incentive Bonus” on page 19.</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schedules of the grants mentioned in the table are as follows (and assume continued employment through each applicable vesting date):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2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Start</w:t>
            </w:r>
          </w:p>
        </w:tc>
        <w:tc>
          <w:tcPr>
            <w:tcW w:w="220" w:type="dxa"/>
            <w:vAlign w:val="bottom"/>
          </w:tcPr>
          <w:p>
            <w:pPr>
              <w:spacing w:after="0"/>
              <w:rPr>
                <w:sz w:val="12"/>
                <w:szCs w:val="12"/>
                <w:color w:val="auto"/>
              </w:rPr>
            </w:pPr>
          </w:p>
        </w:tc>
        <w:tc>
          <w:tcPr>
            <w:tcW w:w="482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0" w:type="dxa"/>
            <w:vAlign w:val="bottom"/>
          </w:tcPr>
          <w:p>
            <w:pPr>
              <w:spacing w:after="0"/>
              <w:rPr>
                <w:sz w:val="1"/>
                <w:szCs w:val="1"/>
                <w:color w:val="auto"/>
              </w:rPr>
            </w:pPr>
          </w:p>
        </w:tc>
      </w:tr>
      <w:tr>
        <w:trPr>
          <w:trHeight w:val="165"/>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2/4/2010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2/4/2010</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2/4/2010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2/4/2010</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Vishal Chhibbar</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2/4/2010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2/4/2010</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2/4/2010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2/4/2010</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2/4/2010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2/4/2010</w:t>
            </w: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A. Bloom</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7/12/2010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7/12/2010</w:t>
            </w: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Vesting over 4 years – 10%, 20%, 30% and 40%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60" w:right="80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Mr. Bloom’s options were set equal to the average of the high and low sales prices of our common stock on the trading day immediately preceding the date of grant.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Vikram Talwar and Rohit Kapoor</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Mr. Talwar served as our Executive Chairman until March 31, 2011 and served as our Chief Executive Officer and Vice Chairman between November 2002 and May 2008. Mr. Kapoor serves as our President and Chief Executive Officer, served as our Chief Financial Officer between August 2006 and March 30, 2007 and for certain periods prior to such dates and is based at our executive offices in New York, New York.</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entered into employment agreements with Messrs. Talwar and Kapoor, effective September 30, 2006, which have been amended from time to time. Mr. Talwar became our Nonexecutive Chairman effective April 1, 2011. Mr. Kapoor’s agreement will be automatically extended for successive 12-month periods at the end of any fixed term unless either party provides the other with 120 days’ notice of its desire not to extend the agreement.</w:t>
      </w:r>
    </w:p>
    <w:p>
      <w:pPr>
        <w:spacing w:after="0" w:line="130"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Salary and Bonus</w:t>
      </w:r>
      <w:r>
        <w:rPr>
          <w:rFonts w:ascii="Times New Roman" w:cs="Times New Roman" w:eastAsia="Times New Roman" w:hAnsi="Times New Roman"/>
          <w:sz w:val="18"/>
          <w:szCs w:val="18"/>
          <w:color w:val="auto"/>
        </w:rPr>
        <w:t>. Mr. Talwar received an annual base salary of $420,000, and Mr. Kapoor receives an annual salary of $500,000. Mr. Kapoor’s base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increased at our sole discretion and cannot be decreased unless a company-wide decrease in pay is implemented. Messrs. Talwar and Kapoor’s employment agreements provided that each could earn an annual cash bonus, with a target of 75% of base salary and a maximum of 150% of base salary, based upon the attainment of criteria determined by our Compensation Committee.</w:t>
      </w:r>
    </w:p>
    <w:p>
      <w:pPr>
        <w:spacing w:after="0" w:line="133" w:lineRule="exact"/>
        <w:rPr>
          <w:sz w:val="20"/>
          <w:szCs w:val="20"/>
          <w:color w:val="auto"/>
        </w:rPr>
      </w:pPr>
    </w:p>
    <w:p>
      <w:pPr>
        <w:jc w:val="both"/>
        <w:ind w:right="3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Equity Grants</w:t>
      </w:r>
      <w:r>
        <w:rPr>
          <w:rFonts w:ascii="Times New Roman" w:cs="Times New Roman" w:eastAsia="Times New Roman" w:hAnsi="Times New Roman"/>
          <w:sz w:val="18"/>
          <w:szCs w:val="18"/>
          <w:color w:val="auto"/>
        </w:rPr>
        <w:t>. Mr. Kapoor remains eligible to receive stock options and/or restricted stock awards annually during the term, in amounts and forms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Any stock options will be granted with an exercise price equal to the fair market value of our common stock at the time of grant. Any future stock option or restricted stock awards will vest 25% per year over four years.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Mr. Kapoor can participate in all the benefit plans we provide to senior executives and employees generally.</w:t>
      </w:r>
    </w:p>
    <w:p>
      <w:pPr>
        <w:spacing w:after="0" w:line="173" w:lineRule="exact"/>
        <w:rPr>
          <w:sz w:val="20"/>
          <w:szCs w:val="20"/>
          <w:color w:val="auto"/>
        </w:rPr>
      </w:pPr>
    </w:p>
    <w:p>
      <w:pPr>
        <w:jc w:val="both"/>
        <w:ind w:right="360" w:firstLine="456"/>
        <w:spacing w:after="0" w:line="275" w:lineRule="auto"/>
        <w:rPr>
          <w:sz w:val="20"/>
          <w:szCs w:val="20"/>
          <w:color w:val="auto"/>
        </w:rPr>
      </w:pPr>
      <w:r>
        <w:rPr>
          <w:rFonts w:ascii="Times New Roman" w:cs="Times New Roman" w:eastAsia="Times New Roman" w:hAnsi="Times New Roman"/>
          <w:sz w:val="18"/>
          <w:szCs w:val="18"/>
          <w:color w:val="auto"/>
        </w:rPr>
        <w:t>If we require Mr. Kapoor to relocate, we will pay the relocation costs. We will reimburse the executive for the after-tax cost of maintaining his existing home. He will need to use his best efforts to mitigate our cost by either renting or selling his home.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Personal Benefits</w:t>
      </w:r>
      <w:r>
        <w:rPr>
          <w:rFonts w:ascii="Times New Roman" w:cs="Times New Roman" w:eastAsia="Times New Roman" w:hAnsi="Times New Roman"/>
          <w:sz w:val="18"/>
          <w:szCs w:val="18"/>
          <w:color w:val="auto"/>
        </w:rPr>
        <w:t>. We provide Messrs. Talwar and Kapoor with certain personal benefits, including:</w:t>
      </w:r>
    </w:p>
    <w:p>
      <w:pPr>
        <w:spacing w:after="0" w:line="92"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club memberships up to $3,500 per year;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equipment for a home office;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Personal Benefits for Mr. Talwar</w:t>
      </w:r>
      <w:r>
        <w:rPr>
          <w:rFonts w:ascii="Times New Roman" w:cs="Times New Roman" w:eastAsia="Times New Roman" w:hAnsi="Times New Roman"/>
          <w:sz w:val="18"/>
          <w:szCs w:val="18"/>
          <w:color w:val="auto"/>
        </w:rPr>
        <w:t>. The benefits Mr. Talwar receives which Mr. Kapoor does not receive include the following:</w:t>
      </w:r>
    </w:p>
    <w:p>
      <w:pPr>
        <w:spacing w:after="0" w:line="92"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associated with maintaining an automobile in India (including the cost of a driver);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security for the executive and his family;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an executive assistant.</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Personal Benefits for Mr. Kapoor</w:t>
      </w:r>
      <w:r>
        <w:rPr>
          <w:rFonts w:ascii="Times New Roman" w:cs="Times New Roman" w:eastAsia="Times New Roman" w:hAnsi="Times New Roman"/>
          <w:sz w:val="18"/>
          <w:szCs w:val="18"/>
          <w:color w:val="auto"/>
        </w:rPr>
        <w:t>. The benefits Mr. Kapoor receives which Mr. Talwar does not receive include the following:</w:t>
      </w:r>
    </w:p>
    <w:p>
      <w:pPr>
        <w:spacing w:after="0" w:line="92"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life insurance policy with a face value of $500,000.</w:t>
      </w:r>
    </w:p>
    <w:p>
      <w:pPr>
        <w:spacing w:after="0" w:line="90"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allowance for private school tuition for executive’s children through secondary school during the period when the executive and his immediate family live outside the United States in connection with company business;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once-a-year business class airfare between the United States and India (or India and the United States, as applicable) for the executive and his family;</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additional taxes the executive must pay because he either works or lives in India or travels to India for work;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$12,000 for personal tax and estate planning expenses during the term of the agreement;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weeks paid vacation each year;</w:t>
      </w:r>
    </w:p>
    <w:p>
      <w:pPr>
        <w:spacing w:after="0" w:line="90" w:lineRule="exact"/>
        <w:rPr>
          <w:rFonts w:ascii="Times New Roman" w:cs="Times New Roman" w:eastAsia="Times New Roman" w:hAnsi="Times New Roman"/>
          <w:sz w:val="18"/>
          <w:szCs w:val="18"/>
          <w:color w:val="auto"/>
        </w:rPr>
      </w:pPr>
    </w:p>
    <w:p>
      <w:pPr>
        <w:ind w:left="900" w:right="80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maintaining an automobile in the United States (including up to $1,400 per month for lease or loan payments for Mr. Kapoor);</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$12,000 for expenses associated with maintaining an automobile in India (including the cost of a driver); personal security for the executive and his family while in India; and</w:t>
      </w:r>
    </w:p>
    <w:p>
      <w:pPr>
        <w:spacing w:after="0" w:line="38"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per diem billeting allowance for each night that the executive does not stay in a hotel during travel to India on company business, thereby saving us from incurring boarding and lodging expenses, while Mr. Kapoor resides in the United States.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Vishal Chhibbar</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Mr. Chhibbar’s annual fixed compensation was increased to $324,312 effective November 1, 2010. Mr. Chhibbar is eligible to receive a target bonus equal to 50% of his total annual fixed compensation. As is customary in India, where Mr. Chhibbar is based, annual fixed compensation includes a housing allowance and other allowances summarized under “Base Salaries” on page 15 above. Mr. Chhibbar is eligible to participate in the Company’s pension benefit, health and welfare and fringe benefit plans otherwise available to executive employees stationed in India. The Company provided Mr. Chhibbar with certain reimbursements for tax returns and tax advisory services he used before June 1, 2010.</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Pavan Bagai</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Mr. Bagai’s annual fixed compensation was increased to $369,045 effective November 1, 2010. As is customary in India, where Mr. Bagai is based, annual fixed compensation includes a housing allowance and other allowances summarized under “Base Salaries” on page 15 above. Mr. Bagai is eligible to participate in the Company’s pension benefit, health and welfare and fringe benefit plans otherwise available to executive employees stationed in India. Mr. Bagai is eligible to receive a target bonus equal to 50% of his total annual fixed compensation. Beginning in 2011, Mr. Bagai is eligible to receive a target bonus equal to 75% of his total annual fixed compensation.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Rembert de Villa</w:t>
      </w:r>
    </w:p>
    <w:p>
      <w:pPr>
        <w:spacing w:after="0" w:line="92"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Mr. de Villa’s base salary was increased to $362,950 effective April 1, 2010. Mr. de Villa is eligible to receive a target bonus of 70% of his annual base salary. Beginning in 2011, Mr. de Villa is eligible to receive a target bonus equal to 75% of his annual base salary. Mr. de Villa is eligible to participate in our health, dental, vision, life insurance and disability plans and to participate in our 401(k) plan in accordance with its terms.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William A. Bloom</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with William A. Bloom on June 24, 2010, and he began serving as our Executive Vice President/Managing Director of Global Client Services on July 12, 2010. Mr. Bloom receives an annual base salary of $500,000 and for the years after 2010 is eligible to receive a target bonus of 75% of his annual base salary. Pursuant to Mr. Bloom’s employment agreement, Mr. Bloom received a fixed bonus for 2010. Mr. Bloom is eligible to participate in our health, dental, vision, life insurance and disability plans and to participate in our 401(k) plan in accordance with its terms.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2010 Year-End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equity awards we have made to our named executive officers that were outstanding as of December 31, 2010:</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1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Vikram Talwar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Rohit Kapoor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Vishal Chhibbar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Pavan Bagai</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Market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Payout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Units</w:t>
            </w: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Stock</w:t>
            </w: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Rights</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Have</w:t>
            </w: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Units That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That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w:t>
            </w: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3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8"/>
              </w:rPr>
              <w:t>Vested</w:t>
            </w: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cisable</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cisable</w:t>
            </w:r>
          </w:p>
        </w:tc>
        <w:tc>
          <w:tcPr>
            <w:tcW w:w="700" w:type="dxa"/>
            <w:vAlign w:val="bottom"/>
            <w:gridSpan w:val="2"/>
          </w:tcPr>
          <w:p>
            <w:pPr>
              <w:jc w:val="center"/>
              <w:ind w:left="134"/>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194"/>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(c)(1)</w:t>
            </w:r>
          </w:p>
        </w:tc>
        <w:tc>
          <w:tcPr>
            <w:tcW w:w="2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3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Date (f)</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(g)(2)</w:t>
            </w:r>
          </w:p>
        </w:tc>
        <w:tc>
          <w:tcPr>
            <w:tcW w:w="2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(h)(3)</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24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41"/>
        </w:trPr>
        <w:tc>
          <w:tcPr>
            <w:tcW w:w="2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(1)</w:t>
            </w:r>
          </w:p>
        </w:tc>
        <w:tc>
          <w:tcPr>
            <w:tcW w:w="280" w:type="dxa"/>
            <w:vAlign w:val="bottom"/>
          </w:tcPr>
          <w:p>
            <w:pPr>
              <w:spacing w:after="0"/>
              <w:rPr>
                <w:sz w:val="12"/>
                <w:szCs w:val="12"/>
                <w:color w:val="auto"/>
              </w:rPr>
            </w:pPr>
          </w:p>
        </w:tc>
        <w:tc>
          <w:tcPr>
            <w:tcW w:w="720" w:type="dxa"/>
            <w:vAlign w:val="bottom"/>
            <w:tcBorders>
              <w:top w:val="single" w:sz="8" w:color="auto"/>
            </w:tcBorders>
          </w:tcPr>
          <w:p>
            <w:pPr>
              <w:jc w:val="right"/>
              <w:ind w:right="204"/>
              <w:spacing w:after="0" w:line="141"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(3)</w:t>
            </w:r>
          </w:p>
        </w:tc>
        <w:tc>
          <w:tcPr>
            <w:tcW w:w="220" w:type="dxa"/>
            <w:vAlign w:val="bottom"/>
          </w:tcPr>
          <w:p>
            <w:pPr>
              <w:spacing w:after="0"/>
              <w:rPr>
                <w:sz w:val="12"/>
                <w:szCs w:val="12"/>
                <w:color w:val="auto"/>
              </w:rPr>
            </w:pPr>
          </w:p>
        </w:tc>
        <w:tc>
          <w:tcPr>
            <w:tcW w:w="4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(4)</w:t>
            </w:r>
          </w:p>
        </w:tc>
        <w:tc>
          <w:tcPr>
            <w:tcW w:w="3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(5)</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(6)</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(7)</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(8)</w:t>
            </w:r>
          </w:p>
        </w:tc>
        <w:tc>
          <w:tcPr>
            <w:tcW w:w="240" w:type="dxa"/>
            <w:vAlign w:val="bottom"/>
          </w:tcPr>
          <w:p>
            <w:pPr>
              <w:spacing w:after="0"/>
              <w:rPr>
                <w:sz w:val="12"/>
                <w:szCs w:val="12"/>
                <w:color w:val="auto"/>
              </w:rPr>
            </w:pPr>
          </w:p>
        </w:tc>
        <w:tc>
          <w:tcPr>
            <w:tcW w:w="5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85"/>
              </w:rPr>
              <w:t>(9)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75,000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1/23/2018</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49,100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147,300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2/10/2019</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3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402,750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1,611,000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150,000</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7/26/2016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75,000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1/23/2018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49,100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147,300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2/10/2019</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3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402,750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1,611,000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9,550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90,000</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6/1/2019</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214,800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4/19/2016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22,500</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2/10/2019</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2/10/2019</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3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128,880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300,720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268,500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-2364740</wp:posOffset>
            </wp:positionV>
            <wp:extent cx="7246620" cy="557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5753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-1113155</wp:posOffset>
            </wp:positionV>
            <wp:extent cx="7246620"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40" w:space="720"/>
            <w:col w:w="82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12,000</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28,000</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23.82</w:t>
            </w:r>
          </w:p>
        </w:tc>
        <w:tc>
          <w:tcPr>
            <w:tcW w:w="194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4/24/2018</w:t>
            </w:r>
          </w:p>
        </w:tc>
        <w:tc>
          <w:tcPr>
            <w:tcW w:w="2520" w:type="dxa"/>
            <w:vAlign w:val="bottom"/>
            <w:shd w:val="clear" w:color="auto" w:fill="CCEEFF"/>
          </w:tcPr>
          <w:p>
            <w:pPr>
              <w:spacing w:after="0"/>
              <w:rPr>
                <w:sz w:val="18"/>
                <w:szCs w:val="18"/>
                <w:color w:val="auto"/>
              </w:rPr>
            </w:pPr>
          </w:p>
        </w:tc>
      </w:tr>
      <w:tr>
        <w:trPr>
          <w:trHeight w:val="216"/>
        </w:trPr>
        <w:tc>
          <w:tcPr>
            <w:tcW w:w="3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2,500</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22,500</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8.75</w:t>
            </w:r>
          </w:p>
        </w:tc>
        <w:tc>
          <w:tcPr>
            <w:tcW w:w="194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2/10/2019</w:t>
            </w:r>
          </w:p>
        </w:tc>
        <w:tc>
          <w:tcPr>
            <w:tcW w:w="2520" w:type="dxa"/>
            <w:vAlign w:val="bottom"/>
            <w:shd w:val="clear" w:color="auto" w:fill="CCEEFF"/>
          </w:tcPr>
          <w:p>
            <w:pPr>
              <w:spacing w:after="0"/>
              <w:rPr>
                <w:sz w:val="18"/>
                <w:szCs w:val="18"/>
                <w:color w:val="auto"/>
              </w:rPr>
            </w:pPr>
          </w:p>
        </w:tc>
      </w:tr>
      <w:tr>
        <w:trPr>
          <w:trHeight w:val="216"/>
        </w:trPr>
        <w:tc>
          <w:tcPr>
            <w:tcW w:w="3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2,500</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22,500</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8.75</w:t>
            </w:r>
          </w:p>
        </w:tc>
        <w:tc>
          <w:tcPr>
            <w:tcW w:w="194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2/10/2019</w:t>
            </w:r>
          </w:p>
        </w:tc>
        <w:tc>
          <w:tcPr>
            <w:tcW w:w="2520" w:type="dxa"/>
            <w:vAlign w:val="bottom"/>
            <w:shd w:val="clear" w:color="auto" w:fill="CCEEFF"/>
          </w:tcPr>
          <w:p>
            <w:pPr>
              <w:spacing w:after="0"/>
              <w:rPr>
                <w:sz w:val="18"/>
                <w:szCs w:val="18"/>
                <w:color w:val="auto"/>
              </w:rPr>
            </w:pPr>
          </w:p>
        </w:tc>
      </w:tr>
      <w:tr>
        <w:trPr>
          <w:trHeight w:val="216"/>
        </w:trPr>
        <w:tc>
          <w:tcPr>
            <w:tcW w:w="3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2,800</w:t>
            </w:r>
          </w:p>
        </w:tc>
        <w:tc>
          <w:tcPr>
            <w:tcW w:w="252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8"/>
                <w:szCs w:val="18"/>
                <w:color w:val="auto"/>
              </w:rPr>
              <w:t>60,144</w:t>
            </w:r>
          </w:p>
        </w:tc>
      </w:tr>
      <w:tr>
        <w:trPr>
          <w:trHeight w:val="216"/>
        </w:trPr>
        <w:tc>
          <w:tcPr>
            <w:tcW w:w="3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8,000</w:t>
            </w:r>
          </w:p>
        </w:tc>
        <w:tc>
          <w:tcPr>
            <w:tcW w:w="252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8"/>
                <w:szCs w:val="18"/>
                <w:color w:val="auto"/>
              </w:rPr>
              <w:t>171,840</w:t>
            </w: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William A. Bloom</w:t>
            </w:r>
          </w:p>
        </w:tc>
        <w:tc>
          <w:tcPr>
            <w:tcW w:w="1120" w:type="dxa"/>
            <w:vAlign w:val="bottom"/>
          </w:tcPr>
          <w:p>
            <w:pPr>
              <w:spacing w:after="0"/>
              <w:rPr>
                <w:sz w:val="19"/>
                <w:szCs w:val="19"/>
                <w:color w:val="auto"/>
              </w:rPr>
            </w:pPr>
          </w:p>
        </w:tc>
        <w:tc>
          <w:tcPr>
            <w:tcW w:w="14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250,000</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17.18</w:t>
            </w:r>
          </w:p>
        </w:tc>
        <w:tc>
          <w:tcPr>
            <w:tcW w:w="194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7/12/2020</w:t>
            </w:r>
          </w:p>
        </w:tc>
        <w:tc>
          <w:tcPr>
            <w:tcW w:w="2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460" w:right="60" w:hanging="452"/>
        <w:spacing w:after="0" w:line="258"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Mr. Talwar’s and Mr. Kapoor’s 75,000 unvested options will vest in equal, 50% installments on each of the first two anniversaries of January 23, 2010, and each of their 147,300 unvested options will vest in equal 25% installments on each of the first four anniversaries of February 10, 2009. Unvested options granted subsequent to 2006 to executives other than Messrs. Talwar and Kapoor follow Standard Graded Vesting. Vesting of options is subject to continued employment on each vesting date, except as provided in “—Potential Payments Upon Termination or Change in Control.”</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Mr. Talwar’s and Mr. Kapoor’s restricted shares vest as follows: 18,750 shares on January 26, 2011, and 18,750 restricted share units vest on the</w:t>
      </w:r>
    </w:p>
    <w:p>
      <w:pPr>
        <w:spacing w:after="0" w:line="44"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first four anniversaries of February 4, 2010. Mr. de Villa’s 2,800 restricted shares vest as follows: 1,200 shares on April 24, 2011 and 1,600 shares on</w:t>
      </w:r>
    </w:p>
    <w:p>
      <w:pPr>
        <w:spacing w:after="0" w:line="9"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April 24, 2012. Mr. de Villa’s 8,000 restricted share units vest as follows: 800 vest on February 4, 2011, 1,600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20"/>
        <w:spacing w:after="0" w:line="301" w:lineRule="auto"/>
        <w:rPr>
          <w:sz w:val="20"/>
          <w:szCs w:val="20"/>
          <w:color w:val="auto"/>
        </w:rPr>
      </w:pPr>
      <w:r>
        <w:rPr>
          <w:rFonts w:ascii="Times New Roman" w:cs="Times New Roman" w:eastAsia="Times New Roman" w:hAnsi="Times New Roman"/>
          <w:sz w:val="16"/>
          <w:szCs w:val="16"/>
          <w:color w:val="auto"/>
        </w:rPr>
        <w:t>restricted share units vest on February 4, 2012, 2,400 restricted share units vest on February 4, 2013 and 3,200 restricted share units vest on February 4, 2014. Mr. Bagai’s 28,500 restricted shares vest as follows: 4,000 shares vest on April 24, 2010, 4,500 shares vest on April 25, 2010, 6,000 shares vest on April 24, 2011, 6,000 shares vest on April 25, 2011 and 8,000 shares vest on April 24, 2012. Vesting of restricted stock and restricted stock units is subject to continued employment on each vesting date, except as provided in “—Potential Payments Upon Termination or Change in Control.”</w:t>
      </w:r>
    </w:p>
    <w:p>
      <w:pPr>
        <w:spacing w:after="0" w:line="22"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used in determining the market values set forth in this table is $21.48, which was the closing price of our stock on December 31, 2010.</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Year 2010</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value realized by our named executive officers on option award exercises and stock award vesting during fiscal year 2010.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Stock Awards</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722"/>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 Awards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8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No. of Shares</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w:t>
            </w:r>
          </w:p>
        </w:tc>
        <w:tc>
          <w:tcPr>
            <w:tcW w:w="6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Value 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 of Shares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6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on Exercise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Vesting</w:t>
            </w:r>
          </w:p>
        </w:tc>
        <w:tc>
          <w:tcPr>
            <w:tcW w:w="0" w:type="dxa"/>
            <w:vAlign w:val="bottom"/>
          </w:tcPr>
          <w:p>
            <w:pPr>
              <w:spacing w:after="0"/>
              <w:rPr>
                <w:sz w:val="1"/>
                <w:szCs w:val="1"/>
                <w:color w:val="auto"/>
              </w:rPr>
            </w:pPr>
          </w:p>
        </w:tc>
      </w:tr>
      <w:tr>
        <w:trPr>
          <w:trHeight w:val="138"/>
        </w:trPr>
        <w:tc>
          <w:tcPr>
            <w:tcW w:w="4120" w:type="dxa"/>
            <w:vAlign w:val="bottom"/>
            <w:gridSpan w:val="3"/>
            <w:vMerge w:val="continue"/>
          </w:tcPr>
          <w:p>
            <w:pPr>
              <w:spacing w:after="0"/>
              <w:rPr>
                <w:sz w:val="12"/>
                <w:szCs w:val="12"/>
                <w:color w:val="auto"/>
              </w:rPr>
            </w:pPr>
          </w:p>
        </w:tc>
        <w:tc>
          <w:tcPr>
            <w:tcW w:w="2400" w:type="dxa"/>
            <w:vAlign w:val="bottom"/>
            <w:gridSpan w:val="3"/>
          </w:tcPr>
          <w:p>
            <w:pPr>
              <w:jc w:val="center"/>
              <w:ind w:left="15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1540" w:type="dxa"/>
            <w:vAlign w:val="bottom"/>
            <w:gridSpan w:val="3"/>
          </w:tcPr>
          <w:p>
            <w:pPr>
              <w:jc w:val="center"/>
              <w:ind w:left="585"/>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Vesting (#)</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jc w:val="center"/>
              <w:ind w:left="212"/>
              <w:spacing w:after="0" w:line="149" w:lineRule="exact"/>
              <w:rPr>
                <w:sz w:val="20"/>
                <w:szCs w:val="20"/>
                <w:color w:val="auto"/>
              </w:rPr>
            </w:pPr>
            <w:r>
              <w:rPr>
                <w:rFonts w:ascii="Times New Roman" w:cs="Times New Roman" w:eastAsia="Times New Roman" w:hAnsi="Times New Roman"/>
                <w:sz w:val="14"/>
                <w:szCs w:val="14"/>
                <w:color w:val="auto"/>
                <w:w w:val="97"/>
              </w:rPr>
              <w:t>(3)</w:t>
            </w:r>
          </w:p>
        </w:tc>
        <w:tc>
          <w:tcPr>
            <w:tcW w:w="3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Vishal Chhibbar</w:t>
            </w:r>
          </w:p>
        </w:tc>
        <w:tc>
          <w:tcPr>
            <w:tcW w:w="2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A. Bloom</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Pension Benefits For Fiscal Year 2010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Number of Years</w:t>
            </w:r>
          </w:p>
        </w:tc>
        <w:tc>
          <w:tcPr>
            <w:tcW w:w="340" w:type="dxa"/>
            <w:vAlign w:val="bottom"/>
          </w:tcPr>
          <w:p>
            <w:pPr>
              <w:spacing w:after="0"/>
              <w:rPr>
                <w:sz w:val="24"/>
                <w:szCs w:val="24"/>
                <w:color w:val="auto"/>
              </w:rPr>
            </w:pPr>
          </w:p>
        </w:tc>
        <w:tc>
          <w:tcPr>
            <w:tcW w:w="12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Present Value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right"/>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Credited Service</w:t>
            </w:r>
          </w:p>
        </w:tc>
        <w:tc>
          <w:tcPr>
            <w:tcW w:w="340" w:type="dxa"/>
            <w:vAlign w:val="bottom"/>
          </w:tcPr>
          <w:p>
            <w:pPr>
              <w:spacing w:after="0"/>
              <w:rPr>
                <w:sz w:val="12"/>
                <w:szCs w:val="12"/>
                <w:color w:val="auto"/>
              </w:rPr>
            </w:pPr>
          </w:p>
        </w:tc>
        <w:tc>
          <w:tcPr>
            <w:tcW w:w="12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Accumulated</w:t>
            </w:r>
          </w:p>
        </w:tc>
        <w:tc>
          <w:tcPr>
            <w:tcW w:w="6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Payments During</w:t>
            </w:r>
          </w:p>
        </w:tc>
        <w:tc>
          <w:tcPr>
            <w:tcW w:w="0" w:type="dxa"/>
            <w:vAlign w:val="bottom"/>
          </w:tcPr>
          <w:p>
            <w:pPr>
              <w:spacing w:after="0"/>
              <w:rPr>
                <w:sz w:val="1"/>
                <w:szCs w:val="1"/>
                <w:color w:val="auto"/>
              </w:rPr>
            </w:pPr>
          </w:p>
        </w:tc>
      </w:tr>
      <w:tr>
        <w:trPr>
          <w:trHeight w:val="138"/>
        </w:trPr>
        <w:tc>
          <w:tcPr>
            <w:tcW w:w="4120" w:type="dxa"/>
            <w:vAlign w:val="bottom"/>
            <w:gridSpan w:val="3"/>
            <w:vMerge w:val="continue"/>
          </w:tcPr>
          <w:p>
            <w:pPr>
              <w:spacing w:after="0"/>
              <w:rPr>
                <w:sz w:val="12"/>
                <w:szCs w:val="12"/>
                <w:color w:val="auto"/>
              </w:rPr>
            </w:pPr>
          </w:p>
        </w:tc>
        <w:tc>
          <w:tcPr>
            <w:tcW w:w="2500" w:type="dxa"/>
            <w:vAlign w:val="bottom"/>
            <w:gridSpan w:val="4"/>
          </w:tcPr>
          <w:p>
            <w:pPr>
              <w:jc w:val="center"/>
              <w:ind w:right="8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Plan Name</w:t>
            </w:r>
          </w:p>
        </w:tc>
        <w:tc>
          <w:tcPr>
            <w:tcW w:w="660" w:type="dxa"/>
            <w:vAlign w:val="bottom"/>
          </w:tcPr>
          <w:p>
            <w:pPr>
              <w:jc w:val="right"/>
              <w:ind w:right="25"/>
              <w:spacing w:after="0" w:line="139" w:lineRule="exact"/>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480"/>
              <w:spacing w:after="0" w:line="139" w:lineRule="exact"/>
              <w:rPr>
                <w:sz w:val="20"/>
                <w:szCs w:val="20"/>
                <w:color w:val="auto"/>
              </w:rPr>
            </w:pPr>
            <w:r>
              <w:rPr>
                <w:rFonts w:ascii="Times New Roman" w:cs="Times New Roman" w:eastAsia="Times New Roman" w:hAnsi="Times New Roman"/>
                <w:sz w:val="14"/>
                <w:szCs w:val="14"/>
                <w:b w:val="1"/>
                <w:bCs w:val="1"/>
                <w:color w:val="auto"/>
                <w:w w:val="93"/>
              </w:rPr>
              <w:t>Benefit</w:t>
            </w:r>
          </w:p>
        </w:tc>
        <w:tc>
          <w:tcPr>
            <w:tcW w:w="620" w:type="dxa"/>
            <w:vAlign w:val="bottom"/>
          </w:tcPr>
          <w:p>
            <w:pPr>
              <w:spacing w:after="0"/>
              <w:rPr>
                <w:sz w:val="12"/>
                <w:szCs w:val="12"/>
                <w:color w:val="auto"/>
              </w:rPr>
            </w:pPr>
          </w:p>
        </w:tc>
        <w:tc>
          <w:tcPr>
            <w:tcW w:w="110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Last Fiscal 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w:t>
            </w:r>
          </w:p>
        </w:tc>
        <w:tc>
          <w:tcPr>
            <w:tcW w:w="3740" w:type="dxa"/>
            <w:vAlign w:val="bottom"/>
          </w:tcPr>
          <w:p>
            <w:pPr>
              <w:spacing w:after="0"/>
              <w:rPr>
                <w:sz w:val="14"/>
                <w:szCs w:val="14"/>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gridSpan w:val="2"/>
          </w:tcPr>
          <w:p>
            <w:pPr>
              <w:spacing w:after="0"/>
              <w:rPr>
                <w:sz w:val="14"/>
                <w:szCs w:val="14"/>
                <w:color w:val="auto"/>
              </w:rPr>
            </w:pPr>
          </w:p>
        </w:tc>
        <w:tc>
          <w:tcPr>
            <w:tcW w:w="980" w:type="dxa"/>
            <w:vAlign w:val="bottom"/>
            <w:tcBorders>
              <w:bottom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Vishal Chhibbar</w:t>
            </w:r>
          </w:p>
        </w:tc>
        <w:tc>
          <w:tcPr>
            <w:tcW w:w="2500" w:type="dxa"/>
            <w:vAlign w:val="bottom"/>
            <w:gridSpan w:val="4"/>
            <w:shd w:val="clear" w:color="auto" w:fill="CCEEFF"/>
          </w:tcPr>
          <w:p>
            <w:pPr>
              <w:jc w:val="center"/>
              <w:ind w:right="780"/>
              <w:spacing w:after="0" w:line="201" w:lineRule="exact"/>
              <w:rPr>
                <w:sz w:val="20"/>
                <w:szCs w:val="20"/>
                <w:color w:val="auto"/>
              </w:rPr>
            </w:pPr>
            <w:r>
              <w:rPr>
                <w:rFonts w:ascii="Times New Roman" w:cs="Times New Roman" w:eastAsia="Times New Roman" w:hAnsi="Times New Roman"/>
                <w:sz w:val="18"/>
                <w:szCs w:val="18"/>
                <w:color w:val="auto"/>
                <w:w w:val="97"/>
              </w:rPr>
              <w:t>Gratuity Plan for Indian</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2500" w:type="dxa"/>
            <w:vAlign w:val="bottom"/>
            <w:gridSpan w:val="4"/>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color w:val="auto"/>
                <w:w w:val="97"/>
              </w:rPr>
              <w:t>Employees</w:t>
            </w:r>
          </w:p>
        </w:tc>
        <w:tc>
          <w:tcPr>
            <w:tcW w:w="1540" w:type="dxa"/>
            <w:vAlign w:val="bottom"/>
            <w:gridSpan w:val="3"/>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Pavan Bagai</w:t>
            </w:r>
          </w:p>
        </w:tc>
        <w:tc>
          <w:tcPr>
            <w:tcW w:w="2500" w:type="dxa"/>
            <w:vAlign w:val="bottom"/>
            <w:gridSpan w:val="4"/>
          </w:tcPr>
          <w:p>
            <w:pPr>
              <w:jc w:val="center"/>
              <w:ind w:right="780"/>
              <w:spacing w:after="0" w:line="201" w:lineRule="exact"/>
              <w:rPr>
                <w:sz w:val="20"/>
                <w:szCs w:val="20"/>
                <w:color w:val="auto"/>
              </w:rPr>
            </w:pPr>
            <w:r>
              <w:rPr>
                <w:rFonts w:ascii="Times New Roman" w:cs="Times New Roman" w:eastAsia="Times New Roman" w:hAnsi="Times New Roman"/>
                <w:sz w:val="18"/>
                <w:szCs w:val="18"/>
                <w:color w:val="auto"/>
                <w:w w:val="97"/>
              </w:rPr>
              <w:t>Gratuity Plan for Indian</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5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7"/>
              </w:rPr>
              <w:t>Employees</w:t>
            </w:r>
          </w:p>
        </w:tc>
        <w:tc>
          <w:tcPr>
            <w:tcW w:w="1540" w:type="dxa"/>
            <w:vAlign w:val="bottom"/>
            <w:gridSpan w:val="3"/>
          </w:tcPr>
          <w:p>
            <w:pPr>
              <w:jc w:val="right"/>
              <w:ind w:right="492"/>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300" w:type="dxa"/>
            <w:vAlign w:val="bottom"/>
          </w:tcPr>
          <w:p>
            <w:pPr>
              <w:spacing w:after="0"/>
              <w:rPr>
                <w:sz w:val="19"/>
                <w:szCs w:val="19"/>
                <w:color w:val="auto"/>
              </w:rPr>
            </w:pP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right="80" w:hanging="452"/>
        <w:spacing w:after="0" w:line="26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years of service credited as of December 31, 2010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are required to provide all Indian employees with benefits under our Gratuity Plan, a defined benefit pension plan in India. Distributions from the Gratuity Plan are made in a single lump sum following retirement from the Company. An executive’s benefit under the Gratuity Plan is determined at any time as the executive’s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annual basic salary (determined based on the executive’s most recent monthly basic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accrued benefits has been determined based on their monthly basic salary rates in effect on December 31, 2010, which were $11,533 and $10,764, respectively. Mr. Chhibbar’s Gratuity Plan benefit will only be payable after he has been credited with five years of continuous service with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 at End of 2010 Fiscal Year</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Vikram Talwar and Rohit Kapoor</w:t>
      </w:r>
    </w:p>
    <w:p>
      <w:pPr>
        <w:spacing w:after="0" w:line="90"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Severance</w:t>
      </w:r>
      <w:r>
        <w:rPr>
          <w:rFonts w:ascii="Times New Roman" w:cs="Times New Roman" w:eastAsia="Times New Roman" w:hAnsi="Times New Roman"/>
          <w:sz w:val="18"/>
          <w:szCs w:val="18"/>
          <w:color w:val="auto"/>
        </w:rPr>
        <w:t>. If either Mr. Talwar’s or Mr. Kapoor’s employment were terminated by us without “cause” or by the executive for “good reason” (in each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described below) on December 31, 2010, the executive would have been entitled to severance consisting of:</w:t>
      </w:r>
    </w:p>
    <w:p>
      <w:pPr>
        <w:spacing w:after="0" w:line="37"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base salary for 24 months;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38"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life insurance coverage for 18 months. The life insurance coverage will terminate at the time the executive commences employment with another employer.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“Cause” will occur when:</w:t>
      </w:r>
    </w:p>
    <w:p>
      <w:pPr>
        <w:spacing w:after="0" w:line="90" w:lineRule="exact"/>
        <w:rPr>
          <w:sz w:val="20"/>
          <w:szCs w:val="20"/>
          <w:color w:val="auto"/>
        </w:rPr>
      </w:pPr>
    </w:p>
    <w:p>
      <w:pPr>
        <w:ind w:left="900" w:right="8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felony, or a crime of moral turpitude which causes serious economic harm or serious injury to our reputation;</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engages in fraud, embezzlement, self-dealing, gross negligence, dishonesty or other gross and willful misconduct which causes serious and demonstrable injury to us;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materially violates any of our material policies or materially, knowingly and intentionally fails to comply with certain applicable laws;</w:t>
      </w:r>
    </w:p>
    <w:p>
      <w:pPr>
        <w:spacing w:after="0" w:line="113" w:lineRule="exact"/>
        <w:rPr>
          <w:rFonts w:ascii="Times New Roman" w:cs="Times New Roman" w:eastAsia="Times New Roman" w:hAnsi="Times New Roman"/>
          <w:sz w:val="16"/>
          <w:szCs w:val="16"/>
          <w:color w:val="auto"/>
        </w:rPr>
      </w:pPr>
    </w:p>
    <w:p>
      <w:pPr>
        <w:ind w:left="900" w:right="34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fails to substantially perform his duties for 15 days (other than for reason of physical or mental incapacity) after we notify him;</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reasonably cooperate in a governmental investigation involving 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fails to follow our board of directors’ lawful instructions and does not remedy the failure for 15 days after we give him written notice;</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use of alcohol or drugs materially interferes with the performance of his duties; or</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take reasonable steps to end certain affiliations specified in his employment agreement within six months after a request by our board of directors.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 reason” means:</w:t>
      </w:r>
    </w:p>
    <w:p>
      <w:pPr>
        <w:spacing w:after="0" w:line="90"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duties or responsibilities are substantially diminished, or he is required to report to anyone other than our board of directors;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title as our officer is adversely changed, except if the change occurs after a change in control and his new title and duties are similar to his old title and duties;</w:t>
      </w:r>
    </w:p>
    <w:p>
      <w:pPr>
        <w:spacing w:after="0" w:line="38"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base salary is reduced, or his target annual bonus opportunity is reduced below 75% of his base salary, unless a Company-wide decrease in pay is implemented;</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where the executive is based is moved more than 30 miles, and the new location is more than 30 miles from his primary residence in the metropolitan New York City area (other than a relocation to Delhi, India in the case of Mr. Kapoor);</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Kapoor only, if we have relocated Mr. Kapoor to the metropolitan Delhi, India area, the location where Mr. Kapoor is based in Delhi, India is moved more than 30 miles, and the new location is more than 30 miles from Mr. Kapoor’s primary residence in the Delhi, India area;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executive’s employment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Mr. Kapoor, good reason does not include a request by the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the executive plans to terminate his employment for good reason, he must notify us within 30 days following the date the problem began and must allow us 15 days to remedy the problem.</w:t>
      </w:r>
    </w:p>
    <w:p>
      <w:pPr>
        <w:spacing w:after="0" w:line="118" w:lineRule="exact"/>
        <w:rPr>
          <w:sz w:val="20"/>
          <w:szCs w:val="20"/>
          <w:color w:val="auto"/>
        </w:rPr>
      </w:pPr>
    </w:p>
    <w:p>
      <w:pPr>
        <w:ind w:right="10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Change in Control Severance</w:t>
      </w:r>
      <w:r>
        <w:rPr>
          <w:rFonts w:ascii="Times New Roman" w:cs="Times New Roman" w:eastAsia="Times New Roman" w:hAnsi="Times New Roman"/>
          <w:sz w:val="16"/>
          <w:szCs w:val="16"/>
          <w:color w:val="auto"/>
        </w:rPr>
        <w:t>. If a termination described above occurs within 12 months following a “change in control” that satisfies the requirements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409A of the Internal Revenue Code of 1986, as amended, and the Treasury Regulations promulgated thereunder (the “Code”), the executive will receive, in lieu of the severance described above, a lump sum payment of $999,000 and continuation of life insurance coverage for 18 months. If the change in control referenced in the preceding sentence does not satisfy the requirements of Section 409A of the Code, $999,000 will not be paid in a lump sum but will instead be paid ratably for 24 months. The life insurance coverage will terminate at the time the executive commences employment with another employer.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“change in control” means any of the following events:</w:t>
      </w:r>
    </w:p>
    <w:p>
      <w:pPr>
        <w:spacing w:after="0" w:line="90" w:lineRule="exact"/>
        <w:rPr>
          <w:sz w:val="20"/>
          <w:szCs w:val="20"/>
          <w:color w:val="auto"/>
        </w:rPr>
      </w:pPr>
    </w:p>
    <w:p>
      <w:pPr>
        <w:ind w:left="900" w:right="60" w:hanging="325"/>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55"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our board of directors changes, except that the election of any new director whose election or nomination was approved by at least a majority of our incumbent directors will not be regarded as a change in the majority for these purposes;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dissolution or liquidation;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our business or our assets; or</w:t>
      </w:r>
    </w:p>
    <w:p>
      <w:pPr>
        <w:spacing w:after="0" w:line="90" w:lineRule="exact"/>
        <w:rPr>
          <w:rFonts w:ascii="Times New Roman" w:cs="Times New Roman" w:eastAsia="Times New Roman" w:hAnsi="Times New Roman"/>
          <w:sz w:val="18"/>
          <w:szCs w:val="18"/>
          <w:color w:val="auto"/>
        </w:rPr>
      </w:pPr>
    </w:p>
    <w:p>
      <w:pPr>
        <w:ind w:left="900" w:right="50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recapitalization, merger, consolidation or similar transaction with another entity. A transaction will not be a change in control if after the transaction:</w:t>
      </w:r>
    </w:p>
    <w:p>
      <w:pPr>
        <w:spacing w:after="0" w:line="38" w:lineRule="exact"/>
        <w:rPr>
          <w:rFonts w:ascii="Times New Roman" w:cs="Times New Roman" w:eastAsia="Times New Roman" w:hAnsi="Times New Roman"/>
          <w:sz w:val="18"/>
          <w:szCs w:val="18"/>
          <w:color w:val="auto"/>
        </w:rPr>
      </w:pPr>
    </w:p>
    <w:p>
      <w:pPr>
        <w:ind w:left="1480" w:right="400" w:hanging="446"/>
        <w:spacing w:after="0" w:line="275" w:lineRule="auto"/>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38" w:lineRule="exact"/>
        <w:rPr>
          <w:rFonts w:ascii="Times New Roman" w:cs="Times New Roman" w:eastAsia="Times New Roman" w:hAnsi="Times New Roman"/>
          <w:sz w:val="18"/>
          <w:szCs w:val="18"/>
          <w:color w:val="auto"/>
        </w:rPr>
      </w:pPr>
    </w:p>
    <w:p>
      <w:pPr>
        <w:ind w:left="1480" w:right="520" w:hanging="446"/>
        <w:spacing w:after="0" w:line="275" w:lineRule="auto"/>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38" w:lineRule="exact"/>
        <w:rPr>
          <w:rFonts w:ascii="Times New Roman" w:cs="Times New Roman" w:eastAsia="Times New Roman" w:hAnsi="Times New Roman"/>
          <w:sz w:val="18"/>
          <w:szCs w:val="18"/>
          <w:color w:val="auto"/>
        </w:rPr>
      </w:pPr>
    </w:p>
    <w:p>
      <w:pPr>
        <w:ind w:left="1480" w:right="380" w:hanging="446"/>
        <w:spacing w:after="0" w:line="275" w:lineRule="auto"/>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of the parent or surviving company following the transaction were our board members when our board first approved the transaction.</w:t>
      </w:r>
    </w:p>
    <w:p>
      <w:pPr>
        <w:spacing w:after="0" w:line="118"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Death or Disability</w:t>
      </w:r>
      <w:r>
        <w:rPr>
          <w:rFonts w:ascii="Times New Roman" w:cs="Times New Roman" w:eastAsia="Times New Roman" w:hAnsi="Times New Roman"/>
          <w:sz w:val="18"/>
          <w:szCs w:val="18"/>
          <w:color w:val="auto"/>
        </w:rPr>
        <w:t>. If either Mr. Talwar’s or Mr. Kapoor’s employment terminates on account of death or is terminated by either the executive or 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(as defined in the relevant employment agreement), the executive will be entitled to a pro-rated portion of the projected bonus amount for the year of termination.</w:t>
      </w:r>
    </w:p>
    <w:p>
      <w:pPr>
        <w:spacing w:after="0" w:line="127" w:lineRule="exact"/>
        <w:rPr>
          <w:sz w:val="20"/>
          <w:szCs w:val="20"/>
          <w:color w:val="auto"/>
        </w:rPr>
      </w:pPr>
    </w:p>
    <w:p>
      <w:pPr>
        <w:ind w:right="6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Post-Termination Health Benefits</w:t>
      </w:r>
      <w:r>
        <w:rPr>
          <w:rFonts w:ascii="Times New Roman" w:cs="Times New Roman" w:eastAsia="Times New Roman" w:hAnsi="Times New Roman"/>
          <w:sz w:val="18"/>
          <w:szCs w:val="18"/>
          <w:color w:val="auto"/>
        </w:rPr>
        <w:t>. When Mr. Talwar’s or Mr. Kapoor’s employment ends for any reason other than termination by us for cause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termination by the executive, we will pay on behalf of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executive and his eligible dependents the cost of continued coverage under our group health plan for 18 months in accordance with applicable federal law governing continuation of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34"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Noncompete and Nonsolicit Provisions</w:t>
      </w:r>
      <w:r>
        <w:rPr>
          <w:rFonts w:ascii="Times New Roman" w:cs="Times New Roman" w:eastAsia="Times New Roman" w:hAnsi="Times New Roman"/>
          <w:sz w:val="18"/>
          <w:szCs w:val="18"/>
          <w:color w:val="auto"/>
        </w:rPr>
        <w:t>. Each of Messrs. Talwar and Kapoor is subject to confidentiality restrictions and noncompete, non-disparagement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33" w:lineRule="exact"/>
        <w:rPr>
          <w:sz w:val="20"/>
          <w:szCs w:val="20"/>
          <w:color w:val="auto"/>
        </w:rPr>
      </w:pPr>
    </w:p>
    <w:p>
      <w:pPr>
        <w:ind w:right="12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Equity Award Treatment</w:t>
      </w:r>
      <w:r>
        <w:rPr>
          <w:rFonts w:ascii="Times New Roman" w:cs="Times New Roman" w:eastAsia="Times New Roman" w:hAnsi="Times New Roman"/>
          <w:sz w:val="16"/>
          <w:szCs w:val="16"/>
          <w:color w:val="auto"/>
        </w:rPr>
        <w:t>. If Mr. Talwar’s employment ends at the expiration of the term of his employment agreement because we give a notice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nonrenewal of the term of that agreement, or if a change in control occurs (as defined in our 2006 Plan, which definition is the same definition set forth above in “Change in Control Severance” on page 34), any portion of his equity awards which would have vested in the one year period following the termination of employment or change in control (as applicable) will become vested on the termination date or the consummation of the change in control (as applicable).</w:t>
      </w:r>
    </w:p>
    <w:p>
      <w:pPr>
        <w:spacing w:after="0" w:line="102"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If Mr. Talwar’s employment is terminated by us without cause (as defined on page 33 above) in specific contemplation of or following a change in control or if Mr. Talwar resigns for good reason (as defined on page 33 above) following a change in control, his stock options and restricted stock award will become fully vested. Mr. Talwar will need to execute a standard release of employment-related claims in order for his restricted stock award to vest in such a case.</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Mr. Kapoor’s employment ends at the expiration of the term of his employment agreement because we give a notice of nonrenewal of the term of that agreement or if a change in control occurs (as defined on page 34 above), any portion of his stock options and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Mr. Kapoor’s employment is terminated by us without cause (as defined on page 33 above) in specific contemplation of or following a change in control, or if Mr. Kapoor resigns for good reason (as defined on pages 33-34 above, as it applies to Mr. Kapoor) following a change in control, his stock options and restricted stock will become fully vested and exercisable. Mr. Kapoor will need to execute a standard release of employment-related claims in order for his stock option and restricted stock to vest in such a case.</w:t>
      </w:r>
    </w:p>
    <w:p>
      <w:pPr>
        <w:spacing w:after="0" w:line="13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In quantifying potential payments for purposes of this disclosure, we have quantified our equity-based payments by using the closing price of our stock on December 31, 2010, which was $21.48.</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Vikram Talwar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Talwar upon a change in control or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Termination</w:t>
            </w:r>
          </w:p>
        </w:tc>
        <w:tc>
          <w:tcPr>
            <w:tcW w:w="280" w:type="dxa"/>
            <w:vAlign w:val="bottom"/>
          </w:tcPr>
          <w:p>
            <w:pPr>
              <w:spacing w:after="0"/>
              <w:rPr>
                <w:sz w:val="13"/>
                <w:szCs w:val="13"/>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4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Cause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Contemplation</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Payments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14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4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Change in</w:t>
            </w:r>
          </w:p>
        </w:tc>
        <w:tc>
          <w:tcPr>
            <w:tcW w:w="0" w:type="dxa"/>
            <w:vAlign w:val="bottom"/>
          </w:tcPr>
          <w:p>
            <w:pPr>
              <w:spacing w:after="0"/>
              <w:rPr>
                <w:sz w:val="1"/>
                <w:szCs w:val="1"/>
                <w:color w:val="auto"/>
              </w:rPr>
            </w:pPr>
          </w:p>
        </w:tc>
      </w:tr>
      <w:tr>
        <w:trPr>
          <w:trHeight w:val="165"/>
        </w:trPr>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Death</w:t>
            </w:r>
          </w:p>
        </w:tc>
        <w:tc>
          <w:tcPr>
            <w:tcW w:w="28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2"/>
              </w:rPr>
              <w:t>Terms</w:t>
            </w: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999,000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442,877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442,877</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442,877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22,950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794,543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2,214,129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2,214,129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2,214,129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402,750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2,013,750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2,013,750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2,013,750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Rohit Kapoor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Kapoor upon a change in control or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Termination</w:t>
            </w:r>
          </w:p>
        </w:tc>
        <w:tc>
          <w:tcPr>
            <w:tcW w:w="280" w:type="dxa"/>
            <w:vAlign w:val="bottom"/>
          </w:tcPr>
          <w:p>
            <w:pPr>
              <w:spacing w:after="0"/>
              <w:rPr>
                <w:sz w:val="13"/>
                <w:szCs w:val="13"/>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4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Cause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Contemplation</w:t>
            </w:r>
          </w:p>
        </w:tc>
        <w:tc>
          <w:tcPr>
            <w:tcW w:w="0" w:type="dxa"/>
            <w:vAlign w:val="bottom"/>
          </w:tcPr>
          <w:p>
            <w:pPr>
              <w:spacing w:after="0"/>
              <w:rPr>
                <w:sz w:val="1"/>
                <w:szCs w:val="1"/>
                <w:color w:val="auto"/>
              </w:rPr>
            </w:pPr>
          </w:p>
        </w:tc>
      </w:tr>
      <w:tr>
        <w:trPr>
          <w:trHeight w:val="149"/>
        </w:trPr>
        <w:tc>
          <w:tcPr>
            <w:tcW w:w="3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Payments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14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4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Change in</w:t>
            </w:r>
          </w:p>
        </w:tc>
        <w:tc>
          <w:tcPr>
            <w:tcW w:w="0" w:type="dxa"/>
            <w:vAlign w:val="bottom"/>
          </w:tcPr>
          <w:p>
            <w:pPr>
              <w:spacing w:after="0"/>
              <w:rPr>
                <w:sz w:val="1"/>
                <w:szCs w:val="1"/>
                <w:color w:val="auto"/>
              </w:rPr>
            </w:pPr>
          </w:p>
        </w:tc>
      </w:tr>
      <w:tr>
        <w:trPr>
          <w:trHeight w:val="165"/>
        </w:trPr>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6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2"/>
              </w:rPr>
              <w:t>Terms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999,000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505,779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505,779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22,950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794,543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2,214,129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2,214,129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2,214,129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Restricted stock (unvested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accelerated)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402,750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2,013,750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2,013,750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2,013,750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Vishal Chhibbar</w:t>
      </w:r>
    </w:p>
    <w:p>
      <w:pPr>
        <w:spacing w:after="0" w:line="92" w:lineRule="exact"/>
        <w:rPr>
          <w:sz w:val="20"/>
          <w:szCs w:val="20"/>
          <w:color w:val="auto"/>
        </w:rPr>
      </w:pPr>
    </w:p>
    <w:p>
      <w:pPr>
        <w:ind w:left="900" w:right="60" w:hanging="325"/>
        <w:spacing w:after="0" w:line="296" w:lineRule="auto"/>
        <w:tabs>
          <w:tab w:leader="none" w:pos="9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Mr. Chhibbar or we may terminate Mr. Chhibbar’s employment at any time. If Mr. Chhibbar’s employment with the Company is terminated by the Company without “Cause” or by Mr. Chhibbar for “Good Reason,” as summarized on pages 37-38, Mr. Chhibbar will be entitled to severance equal to one times to his total annual fixed compensation then in effect. On a change in control (as defined in the 2006 Plan, which is summarized under the heading “Change in Control Severance” on page 34), the vesting of all of Mr. Chhibbar’s outstanding equity awards will be advanced by one year. For example, if one of Mr. Chhibbar’s awards was vesting following Standard Graded Vesting and he had been 10%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40"/>
        <w:spacing w:after="0" w:line="262" w:lineRule="auto"/>
        <w:rPr>
          <w:sz w:val="20"/>
          <w:szCs w:val="20"/>
          <w:color w:val="auto"/>
        </w:rPr>
      </w:pPr>
      <w:r>
        <w:rPr>
          <w:rFonts w:ascii="Times New Roman" w:cs="Times New Roman" w:eastAsia="Times New Roman" w:hAnsi="Times New Roman"/>
          <w:sz w:val="18"/>
          <w:szCs w:val="18"/>
          <w:color w:val="auto"/>
        </w:rPr>
        <w:t>vested in the award immediately prior to the change in control, Mr. Chhibbar will be 30% vested in the award immediately after the change in control. In addition, all of Mr. Chhibbar’s outstanding equity awards will become fully vested if, following or in specific contemplation of a change in control, he is terminated without cause or voluntarily terminates his employment for good reason (as described below).</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Vishal Chhibbar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Chhibbar upon a change in control or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0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Termination</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Termination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4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Cause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Specific</w:t>
            </w: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Following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4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Contemplation</w:t>
            </w:r>
          </w:p>
        </w:tc>
        <w:tc>
          <w:tcPr>
            <w:tcW w:w="0" w:type="dxa"/>
            <w:vAlign w:val="bottom"/>
          </w:tcPr>
          <w:p>
            <w:pPr>
              <w:spacing w:after="0"/>
              <w:rPr>
                <w:sz w:val="1"/>
                <w:szCs w:val="1"/>
                <w:color w:val="auto"/>
              </w:rPr>
            </w:pPr>
          </w:p>
        </w:tc>
      </w:tr>
      <w:tr>
        <w:trPr>
          <w:trHeight w:val="138"/>
        </w:trPr>
        <w:tc>
          <w:tcPr>
            <w:tcW w:w="32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3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400" w:type="dxa"/>
            <w:vAlign w:val="bottom"/>
          </w:tcPr>
          <w:p>
            <w:pPr>
              <w:spacing w:after="0"/>
              <w:rPr>
                <w:sz w:val="12"/>
                <w:szCs w:val="12"/>
                <w:color w:val="auto"/>
              </w:rPr>
            </w:pPr>
          </w:p>
        </w:tc>
        <w:tc>
          <w:tcPr>
            <w:tcW w:w="1060" w:type="dxa"/>
            <w:vAlign w:val="bottom"/>
            <w:gridSpan w:val="3"/>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5"/>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400" w:type="dxa"/>
            <w:vAlign w:val="bottom"/>
          </w:tcPr>
          <w:p>
            <w:pPr>
              <w:spacing w:after="0"/>
              <w:rPr>
                <w:sz w:val="12"/>
                <w:szCs w:val="12"/>
                <w:color w:val="auto"/>
              </w:rPr>
            </w:pPr>
          </w:p>
        </w:tc>
        <w:tc>
          <w:tcPr>
            <w:tcW w:w="96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Change in</w:t>
            </w:r>
          </w:p>
        </w:tc>
        <w:tc>
          <w:tcPr>
            <w:tcW w:w="0" w:type="dxa"/>
            <w:vAlign w:val="bottom"/>
          </w:tcPr>
          <w:p>
            <w:pPr>
              <w:spacing w:after="0"/>
              <w:rPr>
                <w:sz w:val="1"/>
                <w:szCs w:val="1"/>
                <w:color w:val="auto"/>
              </w:rPr>
            </w:pPr>
          </w:p>
        </w:tc>
      </w:tr>
      <w:tr>
        <w:trPr>
          <w:trHeight w:val="162"/>
        </w:trPr>
        <w:tc>
          <w:tcPr>
            <w:tcW w:w="3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9"/>
              </w:rPr>
              <w:t>Death</w:t>
            </w:r>
          </w:p>
        </w:tc>
        <w:tc>
          <w:tcPr>
            <w:tcW w:w="3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Disability</w:t>
            </w:r>
          </w:p>
        </w:tc>
        <w:tc>
          <w:tcPr>
            <w:tcW w:w="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Terms</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Cause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$ 324,312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324,312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324,312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237,800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1,070,100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1,070,100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1,070,100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Restricted stock (unvested and</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accelerated)</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required payouts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William A. Bloom</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Either Mr. Bloom or we may terminate Mr. Bloom’s employment at any time (though Mr. Bloom must give us 90 days advance notice). If Mr. Bloom’s employment with the Company is terminated by the Company without “Cause” or by Mr. Bloom for “Good Reason,” as summarized below, Mr. Bloom will be entitled to severance equal to twelve months of Mr. Bloom’s annual base salary. On a change in control (as defined in the 2006 Plan, which is summarized under the heading “Change in Control Severance” on page 34), the vesting of all of Mr. Bloom’s outstanding equity awards will be advanced by one year. For example, if one of Mr. Bloom’s awards was vesting following Standard Graded Vesting and he had been 10% vested in the award immediately prior to the change in control, Mr. Bloom will be 30% vested in the award immediately after the change in control. In addition, all of Mr. Bloom’s outstanding equity awards will become fully vested if, following or in specific contemplation of a change in control, he is terminated without cause or voluntarily terminates his employment for good reason (as described below).</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“Cause” with respect to Mr. Chhibbar, Mr. Bloom, Mr. Bagai or Mr. de Villa will occur when:</w:t>
      </w:r>
    </w:p>
    <w:p>
      <w:pPr>
        <w:spacing w:after="0" w:line="90" w:lineRule="exact"/>
        <w:rPr>
          <w:sz w:val="20"/>
          <w:szCs w:val="20"/>
          <w:color w:val="auto"/>
        </w:rPr>
      </w:pPr>
    </w:p>
    <w:p>
      <w:pPr>
        <w:ind w:left="900" w:right="14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crime of moral turpitude which causes serious economic injury or serious injury to our reputation or a felony;</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engages in fraud, embezzlement, gross negligence, self-dealing, dishonesty or other gross and willful misconduct which causes serious and demonstrable injury to us;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materially violates any of our material policies (but in the case of Mr. Bloom, any material policies applicable to Mr. Bloom);</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fails to substantially perform his duties (other than for reason of physical or mental incapacity) after we notify him in writing of his need to substantially improve his performance;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reasonably cooperate in a governmental investigation involving 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materially, knowingly and intentionally fails to comply with certain applicable laws;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follow his supervisor’s (or our board of directors) lawful instructions and does not remedy the failure for 15 days after we give him written notice;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use of alcohol or drugs materially interferes with the performance of his duties.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 reason” with respect to Mr. Chhibbar, Mr. Bloom, Mr. Bagai or Mr. de Villa means:</w:t>
      </w:r>
    </w:p>
    <w:p>
      <w:pPr>
        <w:spacing w:after="0" w:line="90" w:lineRule="exact"/>
        <w:rPr>
          <w:sz w:val="20"/>
          <w:szCs w:val="20"/>
          <w:color w:val="auto"/>
        </w:rPr>
      </w:pPr>
    </w:p>
    <w:p>
      <w:pPr>
        <w:ind w:left="900" w:right="300" w:hanging="325"/>
        <w:spacing w:after="0" w:line="26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duties or responsibilities are substantially reduced, or he is required to report to anyone other than our board of directors, or our president and chief executive officer (or in the case of Mr. de Villa, he is required to report to anyone other than our Executive Vice President and Managing Director, Global Client Services);</w:t>
      </w:r>
    </w:p>
    <w:p>
      <w:pPr>
        <w:spacing w:after="0" w:line="51"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title as our officer is adversely changed, except if the change occurs after a change in control (as defined in the 2006 Plan) and his new title and duties are similar to his old title and duties;</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base salary or annual cash bonus opportunity is reduced, other than a proportionate reduction impact all members of our executive committee;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executive’s employment agreement.</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William A. Bloom</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William Bloom upon a change in control or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3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Cause</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3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Specific</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Following</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Following</w:t>
            </w:r>
          </w:p>
        </w:tc>
        <w:tc>
          <w:tcPr>
            <w:tcW w:w="3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Contemplation</w:t>
            </w:r>
          </w:p>
        </w:tc>
        <w:tc>
          <w:tcPr>
            <w:tcW w:w="0" w:type="dxa"/>
            <w:vAlign w:val="bottom"/>
          </w:tcPr>
          <w:p>
            <w:pPr>
              <w:spacing w:after="0"/>
              <w:rPr>
                <w:sz w:val="1"/>
                <w:szCs w:val="1"/>
                <w:color w:val="auto"/>
              </w:rPr>
            </w:pPr>
          </w:p>
        </w:tc>
      </w:tr>
      <w:tr>
        <w:trPr>
          <w:trHeight w:val="138"/>
        </w:trPr>
        <w:tc>
          <w:tcPr>
            <w:tcW w:w="34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jc w:val="center"/>
              <w:ind w:left="232"/>
              <w:spacing w:after="0" w:line="13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32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39" w:lineRule="exact"/>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18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360" w:type="dxa"/>
            <w:vAlign w:val="bottom"/>
          </w:tcPr>
          <w:p>
            <w:pPr>
              <w:spacing w:after="0"/>
              <w:rPr>
                <w:sz w:val="12"/>
                <w:szCs w:val="12"/>
                <w:color w:val="auto"/>
              </w:rPr>
            </w:pPr>
          </w:p>
        </w:tc>
        <w:tc>
          <w:tcPr>
            <w:tcW w:w="9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Change in</w:t>
            </w: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9"/>
              </w:rPr>
              <w:t>Death</w:t>
            </w:r>
          </w:p>
        </w:tc>
        <w:tc>
          <w:tcPr>
            <w:tcW w:w="3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Disability</w:t>
            </w:r>
          </w:p>
        </w:tc>
        <w:tc>
          <w:tcPr>
            <w:tcW w:w="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Terms</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3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3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$ 500,000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$107,625</w:t>
            </w:r>
          </w:p>
        </w:tc>
        <w:tc>
          <w:tcPr>
            <w:tcW w:w="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$1,076,250</w:t>
            </w:r>
          </w:p>
        </w:tc>
        <w:tc>
          <w:tcPr>
            <w:tcW w:w="98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8"/>
              </w:rPr>
              <w:t>$1,076,250</w:t>
            </w:r>
          </w:p>
        </w:tc>
        <w:tc>
          <w:tcPr>
            <w:tcW w:w="122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$ 1,076,250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Pavan Bagai</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Either Mr. Bagai or we may terminate Mr. Bagai’s employment at any time. If we terminate Mr. Bagai’s employment without cause (as described on page</w:t>
      </w:r>
    </w:p>
    <w:p>
      <w:pPr>
        <w:spacing w:after="0" w:line="44" w:lineRule="exact"/>
        <w:rPr>
          <w:sz w:val="20"/>
          <w:szCs w:val="20"/>
          <w:color w:val="auto"/>
        </w:rPr>
      </w:pPr>
    </w:p>
    <w:p>
      <w:pPr>
        <w:ind w:right="140" w:firstLine="8"/>
        <w:spacing w:after="0" w:line="281" w:lineRule="auto"/>
        <w:tabs>
          <w:tab w:leader="none" w:pos="27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without three months advance notice, we will be required to pay Mr. Bagai his then-current fixed compensation rate for three months following his termination. On a change in control (as summarized under the heading “Change in Control Severance” on page 34), the vesting of all of Mr. Bagai’s outstanding equity awards will be advanced by one year. For example, if one of Mr. Bagai’s awards was following Standard Graded Vesting and he had been 10% vested in the award immediately prior to the change in control, Mr. Bagai will be 30% vested in the award immediately after the change in control. In addition, all of</w:t>
      </w:r>
    </w:p>
    <w:p>
      <w:pPr>
        <w:spacing w:after="0" w:line="2" w:lineRule="exact"/>
        <w:rPr>
          <w:rFonts w:ascii="Times New Roman" w:cs="Times New Roman" w:eastAsia="Times New Roman" w:hAnsi="Times New Roman"/>
          <w:sz w:val="16"/>
          <w:szCs w:val="16"/>
          <w:color w:val="auto"/>
        </w:rPr>
      </w:pPr>
    </w:p>
    <w:p>
      <w:pPr>
        <w:ind w:right="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Bagai’s outstanding equity awards will become fully vested if, following or in specific contemplation of a change in control, he is terminated without cause or voluntarily terminates his employment for good reason (as described above).</w:t>
      </w:r>
    </w:p>
    <w:p>
      <w:pPr>
        <w:spacing w:after="0" w:line="13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On March 15, 2011, we executed a severance protection arrangement with Mr. Bagai. The severance protection arrangement provides that in the event Mr. Bagai is terminated by us without “cause” (as described on page 37) at any time following a change in control or in specific contemplation of a change of control or if Mr. Bagai resigns for “good reason” (as described above) following a “change of control” (as defined in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2006 Plan), Mr. Bagai will receive an amount equal to twelve months’ of his then-current base salary. Mr. Bagai’s severance payments are payable in twelve equal monthly installments. Mr. Bagai’s severance payments are subject to his execution of a waiver and release of all claims against us.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Pavan Bagai</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Bagai upon a change in control or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Termination</w:t>
            </w:r>
          </w:p>
        </w:tc>
        <w:tc>
          <w:tcPr>
            <w:tcW w:w="3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1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0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Cause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Specific</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 or</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3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38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Contemplation</w:t>
            </w:r>
          </w:p>
        </w:tc>
        <w:tc>
          <w:tcPr>
            <w:tcW w:w="0" w:type="dxa"/>
            <w:vAlign w:val="bottom"/>
          </w:tcPr>
          <w:p>
            <w:pPr>
              <w:spacing w:after="0"/>
              <w:rPr>
                <w:sz w:val="1"/>
                <w:szCs w:val="1"/>
                <w:color w:val="auto"/>
              </w:rPr>
            </w:pPr>
          </w:p>
        </w:tc>
      </w:tr>
      <w:tr>
        <w:trPr>
          <w:trHeight w:val="138"/>
        </w:trPr>
        <w:tc>
          <w:tcPr>
            <w:tcW w:w="26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100" w:type="dxa"/>
            <w:vAlign w:val="bottom"/>
          </w:tcPr>
          <w:p>
            <w:pPr>
              <w:spacing w:after="0"/>
              <w:rPr>
                <w:sz w:val="12"/>
                <w:szCs w:val="12"/>
                <w:color w:val="auto"/>
              </w:rPr>
            </w:pPr>
          </w:p>
        </w:tc>
        <w:tc>
          <w:tcPr>
            <w:tcW w:w="620" w:type="dxa"/>
            <w:vAlign w:val="bottom"/>
          </w:tcPr>
          <w:p>
            <w:pPr>
              <w:jc w:val="center"/>
              <w:ind w:right="24"/>
              <w:spacing w:after="0" w:line="13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38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in</w:t>
            </w:r>
          </w:p>
        </w:tc>
        <w:tc>
          <w:tcPr>
            <w:tcW w:w="38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380" w:type="dxa"/>
            <w:vAlign w:val="bottom"/>
          </w:tcPr>
          <w:p>
            <w:pPr>
              <w:spacing w:after="0"/>
              <w:rPr>
                <w:sz w:val="12"/>
                <w:szCs w:val="12"/>
                <w:color w:val="auto"/>
              </w:rPr>
            </w:pPr>
          </w:p>
        </w:tc>
        <w:tc>
          <w:tcPr>
            <w:tcW w:w="92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Change in</w:t>
            </w:r>
          </w:p>
        </w:tc>
        <w:tc>
          <w:tcPr>
            <w:tcW w:w="180" w:type="dxa"/>
            <w:vAlign w:val="bottom"/>
          </w:tcPr>
          <w:p>
            <w:pPr>
              <w:spacing w:after="0"/>
              <w:rPr>
                <w:sz w:val="12"/>
                <w:szCs w:val="12"/>
                <w:color w:val="auto"/>
              </w:rPr>
            </w:pPr>
          </w:p>
        </w:tc>
        <w:tc>
          <w:tcPr>
            <w:tcW w:w="96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of Change in</w:t>
            </w:r>
          </w:p>
        </w:tc>
        <w:tc>
          <w:tcPr>
            <w:tcW w:w="0" w:type="dxa"/>
            <w:vAlign w:val="bottom"/>
          </w:tcPr>
          <w:p>
            <w:pPr>
              <w:spacing w:after="0"/>
              <w:rPr>
                <w:sz w:val="1"/>
                <w:szCs w:val="1"/>
                <w:color w:val="auto"/>
              </w:rPr>
            </w:pPr>
          </w:p>
        </w:tc>
      </w:tr>
      <w:tr>
        <w:trPr>
          <w:trHeight w:val="162"/>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5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Death</w:t>
            </w: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Disability</w:t>
            </w:r>
          </w:p>
        </w:tc>
        <w:tc>
          <w:tcPr>
            <w:tcW w:w="3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Terms</w:t>
            </w:r>
          </w:p>
        </w:tc>
        <w:tc>
          <w:tcPr>
            <w:tcW w:w="100" w:type="dxa"/>
            <w:vAlign w:val="bottom"/>
          </w:tcPr>
          <w:p>
            <w:pPr>
              <w:spacing w:after="0"/>
              <w:rPr>
                <w:sz w:val="14"/>
                <w:szCs w:val="14"/>
                <w:color w:val="auto"/>
              </w:rPr>
            </w:pPr>
          </w:p>
        </w:tc>
        <w:tc>
          <w:tcPr>
            <w:tcW w:w="6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Control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Stock options (unvested and</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accelerated)</w:t>
            </w: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rPr>
              <w:t>$140,030</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630,135</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630,135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Restricted stock (unvested and</w:t>
            </w: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accelerated)</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rPr>
              <w:t>$284,610</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698,100</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698,100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required payouts</w:t>
            </w: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$49,679</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$49,679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49,679</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Rembert de Villa</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Either Mr. de Villa or we may terminate Mr. de Villa’s employment at any time. If we terminate Mr. de Villa’s employment without cause (as described on page 37), we will be required to pay Mr. de Villa his then-current base salary for three months following his termination through our regular payroll practices. On a change in control (as defined in the 2006 Plan, which is summarized under the heading “Change in Control Severance” on page 34), the vesting of all of Mr. de Villa’s outstanding equity awards will be advanced by one year. For example, if one of Mr. de Villa’s awards was following Standard Graded Vesting and he had been 10% vested in the award immediately prior to the change in control, Mr. de Villa will be 30% vested in the award immediately after the change in control. In addition, all of Mr. de Villa’s outstanding equity awards will become fully vested if, following or in specific contemplation of a change in control, he is terminated without cause or voluntarily terminates his employment for good reason (as described on page 38).</w:t>
      </w:r>
    </w:p>
    <w:p>
      <w:pPr>
        <w:spacing w:after="0" w:line="14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On March 15, 2011, we executed a severance protection arrangement with Mr. de Villa. The severance protection arrangement provides that in the event Mr. de Villa is terminated by us without “cause” (as described on page 37) at any time following a change in control or in specific contemplation of a change of control or if Mr. de Villa resigns for “good reason” (as described on page 38) after six months following a “change of control” (as defined in the 2006 Plan), Mr. de Villa will receive (a) a one-time lump sum severance payment payable within 31 business days of termination, equal to three months of his then-current base salary and (b) beginning on the third month anniversary of his termination, payment of his then-current base salary for nine months through our regular payroll practices. Beginning three months after his termination, Mr. de Villa is required to actively seek comparable employment and upon subsequent employment, we will reduce the additional salary payments during the nine-month period by any base salary Mr. de Villa receives during such period from another employer. Mr. de Villa’s severance payments are subject to his execution of a waiver and release of all claims against 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Indicative Payouts for Rembert de Villa</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amounts payable to Mr. de Villa upon a change in control or termination of his employment with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w:t>
            </w:r>
          </w:p>
        </w:tc>
        <w:tc>
          <w:tcPr>
            <w:tcW w:w="30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Termina-</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Termina-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Termina-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tion</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tion for</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tion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tion for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Without</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Good</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Good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Cause</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the</w:t>
            </w:r>
          </w:p>
        </w:tc>
        <w:tc>
          <w:tcPr>
            <w:tcW w:w="2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Reason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Following</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plation of</w:t>
            </w: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Payments upon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Employ-</w:t>
            </w: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38"/>
        </w:trPr>
        <w:tc>
          <w:tcPr>
            <w:tcW w:w="4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2"/>
              </w:rPr>
              <w:t>ment</w:t>
            </w:r>
          </w:p>
        </w:tc>
        <w:tc>
          <w:tcPr>
            <w:tcW w:w="220" w:type="dxa"/>
            <w:vAlign w:val="bottom"/>
          </w:tcPr>
          <w:p>
            <w:pPr>
              <w:spacing w:after="0"/>
              <w:rPr>
                <w:sz w:val="12"/>
                <w:szCs w:val="12"/>
                <w:color w:val="auto"/>
              </w:rPr>
            </w:pPr>
          </w:p>
        </w:tc>
        <w:tc>
          <w:tcPr>
            <w:tcW w:w="88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80" w:type="dxa"/>
            <w:vAlign w:val="bottom"/>
          </w:tcPr>
          <w:p>
            <w:pPr>
              <w:spacing w:after="0"/>
              <w:rPr>
                <w:sz w:val="12"/>
                <w:szCs w:val="12"/>
                <w:color w:val="auto"/>
              </w:rPr>
            </w:pPr>
          </w:p>
        </w:tc>
        <w:tc>
          <w:tcPr>
            <w:tcW w:w="580" w:type="dxa"/>
            <w:vAlign w:val="bottom"/>
          </w:tcPr>
          <w:p>
            <w:pPr>
              <w:jc w:val="center"/>
              <w:ind w:right="4"/>
              <w:spacing w:after="0" w:line="13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30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7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0" w:type="dxa"/>
            <w:vAlign w:val="bottom"/>
          </w:tcPr>
          <w:p>
            <w:pPr>
              <w:spacing w:after="0"/>
              <w:rPr>
                <w:sz w:val="1"/>
                <w:szCs w:val="1"/>
                <w:color w:val="auto"/>
              </w:rPr>
            </w:pPr>
          </w:p>
        </w:tc>
      </w:tr>
      <w:tr>
        <w:trPr>
          <w:trHeight w:val="162"/>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Death   Disability</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Terms</w:t>
            </w:r>
          </w:p>
        </w:tc>
        <w:tc>
          <w:tcPr>
            <w:tcW w:w="2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80" w:type="dxa"/>
            <w:vAlign w:val="bottom"/>
          </w:tcPr>
          <w:p>
            <w:pPr>
              <w:spacing w:after="0"/>
              <w:rPr>
                <w:sz w:val="14"/>
                <w:szCs w:val="14"/>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 payout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$89,939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payout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coverage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(unvested and accelerated)</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127,300</w:t>
            </w: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7"/>
              </w:rPr>
              <w:t>$572,850</w:t>
            </w:r>
          </w:p>
        </w:tc>
        <w:tc>
          <w:tcPr>
            <w:tcW w:w="1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$572,850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$572,850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(unvested and accelerated)</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42,960</w:t>
            </w:r>
          </w:p>
        </w:tc>
        <w:tc>
          <w:tcPr>
            <w:tcW w:w="96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7"/>
              </w:rPr>
              <w:t>$231,984</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$231,984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2010</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for compensation earned in fiscal year 2010 by our non-executive directors: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Earned</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Change in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Paid</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Non-Equity</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Pension Value</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10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Deferred</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40" w:type="dxa"/>
            <w:vAlign w:val="bottom"/>
            <w:gridSpan w:val="2"/>
            <w:vMerge w:val="continue"/>
          </w:tcPr>
          <w:p>
            <w:pPr>
              <w:spacing w:after="0"/>
              <w:rPr>
                <w:sz w:val="12"/>
                <w:szCs w:val="12"/>
                <w:color w:val="auto"/>
              </w:rPr>
            </w:pPr>
          </w:p>
        </w:tc>
        <w:tc>
          <w:tcPr>
            <w:tcW w:w="5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spacing w:after="0"/>
              <w:rPr>
                <w:sz w:val="12"/>
                <w:szCs w:val="12"/>
                <w:color w:val="auto"/>
              </w:rPr>
            </w:pPr>
          </w:p>
        </w:tc>
        <w:tc>
          <w:tcPr>
            <w:tcW w:w="104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 (c)</w:t>
            </w:r>
          </w:p>
        </w:tc>
        <w:tc>
          <w:tcPr>
            <w:tcW w:w="106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 (d)</w:t>
            </w: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300" w:type="dxa"/>
            <w:vAlign w:val="bottom"/>
            <w:gridSpan w:val="2"/>
          </w:tcPr>
          <w:p>
            <w:pPr>
              <w:jc w:val="center"/>
              <w:ind w:left="392"/>
              <w:spacing w:after="0" w:line="13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2"/>
                <w:szCs w:val="12"/>
                <w:color w:val="auto"/>
              </w:rPr>
            </w:pPr>
          </w:p>
        </w:tc>
        <w:tc>
          <w:tcPr>
            <w:tcW w:w="7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9"/>
        </w:trPr>
        <w:tc>
          <w:tcPr>
            <w:tcW w:w="3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w:t>
            </w: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(b)</w:t>
            </w:r>
          </w:p>
        </w:tc>
        <w:tc>
          <w:tcPr>
            <w:tcW w:w="54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(1)(3)</w:t>
            </w:r>
          </w:p>
        </w:tc>
        <w:tc>
          <w:tcPr>
            <w:tcW w:w="500" w:type="dxa"/>
            <w:vAlign w:val="bottom"/>
          </w:tcPr>
          <w:p>
            <w:pPr>
              <w:spacing w:after="0"/>
              <w:rPr>
                <w:sz w:val="14"/>
                <w:szCs w:val="1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(2)(3)</w:t>
            </w:r>
          </w:p>
        </w:tc>
        <w:tc>
          <w:tcPr>
            <w:tcW w:w="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4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1"/>
              </w:rPr>
              <w:t>($) (h)</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32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121"/>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00" w:type="dxa"/>
            <w:vAlign w:val="bottom"/>
          </w:tcPr>
          <w:p>
            <w:pPr>
              <w:spacing w:after="0"/>
              <w:rPr>
                <w:sz w:val="12"/>
                <w:szCs w:val="12"/>
                <w:color w:val="auto"/>
              </w:rPr>
            </w:pPr>
          </w:p>
        </w:tc>
        <w:tc>
          <w:tcPr>
            <w:tcW w:w="540" w:type="dxa"/>
            <w:vAlign w:val="bottom"/>
            <w:tcBorders>
              <w:top w:val="single" w:sz="8" w:color="auto"/>
            </w:tcBorders>
          </w:tcPr>
          <w:p>
            <w:pPr>
              <w:jc w:val="right"/>
              <w:ind w:right="101"/>
              <w:spacing w:after="0" w:line="149" w:lineRule="exact"/>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4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w:t>
            </w:r>
          </w:p>
        </w:tc>
        <w:tc>
          <w:tcPr>
            <w:tcW w:w="4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4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V. Dardani</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76,700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53,839</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76,700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56,403</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Kiran Karnik(4)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77,900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53,839</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68,700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69,216</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Ostler</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86,400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64,088</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Mohanbir Sawhney</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50,000</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81,180</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12,821</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Garen K. Staglin</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66,240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64,088</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5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(c) reflect the grant date fair value of awards recognized for financial statement reporting purposes for the fiscal year ended December 31, 2010, in accordance with FASB ASC Topic 718 (disregarding any forfeiture assumptions). Assumptions used in the calculation of these amounts are included in footnotes 2 and 13 to our audited financial statements for the fiscal year ended December 31, 2010 included in our Annual Report on Form 10-K filed with the Securities and Exchange Commission on March 16, 2011. As of December 31, 2010, Messrs. Dardani, Gruber, Kelso, Sawhney and Staglin each held 20,000 restricted stock units, of which 4,000 of those held by each such director were unvested, Mr. Ostler held 8,000 restricted stock units, 4,000 of which are unvested and Mr. Karnik held 8,000 restricted stock units, 4,000 of which are unvested.</w:t>
      </w:r>
    </w:p>
    <w:p>
      <w:pPr>
        <w:spacing w:after="0" w:line="44" w:lineRule="exact"/>
        <w:rPr>
          <w:rFonts w:ascii="Times New Roman" w:cs="Times New Roman" w:eastAsia="Times New Roman" w:hAnsi="Times New Roman"/>
          <w:sz w:val="18"/>
          <w:szCs w:val="18"/>
          <w:color w:val="auto"/>
        </w:rPr>
      </w:pPr>
    </w:p>
    <w:p>
      <w:pPr>
        <w:ind w:left="460" w:right="200" w:hanging="452"/>
        <w:spacing w:after="0" w:line="258"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(d) reflect the grant date fair value of awards recognized for financial statement reporting purposes for the fiscal year ended December 31, 2010, in accordance with FASB ASC Topic 718 (disregarding any forfeiture assumptions). Assumptions used in the calculation of this amount are included in footnotes 2 and 13 to our audited financial statements for the fiscal year ended December 31, 2010 included in our Annual Report on Form 10-K filed with the Securities and Exchange Commission on March 16, 2011.</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40" w:hanging="452"/>
        <w:spacing w:after="0" w:line="275"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unvested stock awards and unexercised option awards determined in accordance with FASB ASC Topic 718 (disregarding any forfeiture assumptions) is set forth in the table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Grants Made in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50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5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5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50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0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65"/>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V. Dardani</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76,700</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53,839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76,700</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2"/>
              </w:rPr>
              <w:t>56,403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Kiran Karnik</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77,900</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53,839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68,700</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2"/>
              </w:rPr>
              <w:t>69,216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Ostler</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86,400</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64,088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Mohanbir Sawhney</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81,180</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2"/>
              </w:rPr>
              <w:t>12,821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Garen K. Staglin</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66,240</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64,088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outstanding equity awards held by our directors on December 31, 2010 is set forth on the table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No. of</w:t>
            </w:r>
          </w:p>
        </w:tc>
        <w:tc>
          <w:tcPr>
            <w:tcW w:w="9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No. of</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9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No.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2"/>
              </w:rPr>
              <w:t>Unexercised</w:t>
            </w:r>
          </w:p>
        </w:tc>
        <w:tc>
          <w:tcPr>
            <w:tcW w:w="9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9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740" w:type="dxa"/>
            <w:vAlign w:val="bottom"/>
            <w:gridSpan w:val="2"/>
          </w:tcPr>
          <w:p>
            <w:pPr>
              <w:jc w:val="center"/>
              <w:ind w:left="855"/>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0" w:type="dxa"/>
            <w:vAlign w:val="bottom"/>
          </w:tcPr>
          <w:p>
            <w:pPr>
              <w:spacing w:after="0"/>
              <w:rPr>
                <w:sz w:val="1"/>
                <w:szCs w:val="1"/>
                <w:color w:val="auto"/>
              </w:rPr>
            </w:pPr>
          </w:p>
        </w:tc>
      </w:tr>
      <w:tr>
        <w:trPr>
          <w:trHeight w:val="165"/>
        </w:trPr>
        <w:tc>
          <w:tcPr>
            <w:tcW w:w="6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9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9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V. Dardani</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Kiran Karnik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Ostler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Mohanbir Sawhney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Garen K. Staglin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Non-employee directors are eligible to receive an annual retainer fee in the amount of $45,000, and effective April 1, 2011, the nonexecutive chairman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 is eligible to receive an additional annual fee of $30,000. New non-employee directors who join our board of directors during a calendar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are eligible to receive the full fee for such calendar quarter. The chairperson of our Audit Committee is eligible to receive an additional annual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$15,000, and other members of our Audit Committee are eligible to receive an additional annual fee of $10,000. The Chairpersons of committees other than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 Committee are eligible to receive an additional annual fee of $10,000, and members of committees other than our Audit Committee are eligible to receive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additional annual fee of $7,500. There are no additional fees payable for attendance at our board or committee meetings (whether in person, telephonic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otherwise). Each member of the board of directors may elect to receive all or a portion of his or her annual fees earned for service on the board of directors during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subsequent calendar year, whether as part of the annual retainer or committee chairperson fee or otherwise, that would otherwise be payable in cash, in the form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a grant of stock options under the 2006 Plan. We make quarterly cash payments to our directors who elect to receive a portion of their director fees in the form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cash.</w:t>
      </w:r>
    </w:p>
    <w:p>
      <w:pPr>
        <w:spacing w:after="0" w:line="15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Directors who elect to receive any portion of their cash director fees in the form of stock options receive a stock option grant effective as of the first business day of the following year. Each stock option grant (i) has a per share exercise price equal to the fair market value of a share of company common stock on the date of grant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(under the 2006 Plan, this is currently determined as the average of the high and low prices on the trading day prior to the date of grant), (ii) vests and becomes exercisable on December 31 of the year in which the option is granted, subject to the individual remaining as a member of the board of directors on such date, and</w:t>
      </w:r>
    </w:p>
    <w:p>
      <w:pPr>
        <w:spacing w:after="0" w:line="1" w:lineRule="exact"/>
        <w:rPr>
          <w:sz w:val="20"/>
          <w:szCs w:val="20"/>
          <w:color w:val="auto"/>
        </w:rPr>
      </w:pPr>
    </w:p>
    <w:p>
      <w:pPr>
        <w:ind w:right="160" w:firstLine="8"/>
        <w:spacing w:after="0" w:line="255" w:lineRule="auto"/>
        <w:tabs>
          <w:tab w:leader="none" w:pos="3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is subject to the terms and conditions of the 2006 Plan. The number of shares of our common stock subject to the stock option will be determined such that the Black-Scholes value (as determined by us) of the stock option is equal to the dollar amount of director fees the director is electing to receive as a stock option.</w:t>
      </w:r>
    </w:p>
    <w:p>
      <w:pPr>
        <w:spacing w:after="0" w:line="138"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Each non-employee director received a grant on the anniversary of his board service date of restricted stock units representing 4,000 shares of our common stock. The grants provide that the restricted stock units will vest on the earlier of:</w:t>
      </w:r>
    </w:p>
    <w:p>
      <w:pPr>
        <w:spacing w:after="0" w:line="39"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the date of grant;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reporting person’s term on our board of directors;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as defined in the 2006 Plan.</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Holders of restricted stock units do not receive the underlying share of common stock until the units have vested and are settled. The restricted stock units issued to each of our non-employee directors will settle on the earlier of:</w:t>
      </w:r>
    </w:p>
    <w:p>
      <w:pPr>
        <w:spacing w:after="0" w:line="39"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directors death;</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as defined in the 2006 Plan that satisfies the requirements of Section 409A of the Code;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following the end of such director’s term on our board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and Compensation Policies</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Management conducted an analysis of our compensation practices to determine whether our compensation practices promote the taking of risks that could have a material adverse effect on us, which was shared with our board of directors. The analysis took into account (1) the multiple performance targets that must be satisfied by any individual (whether a named executive officer or not) in order for target incentive pay to be earned, (2) the fact that our Compensation Committee has the power to reduce bonus awards in response to actions taken by individual members of management that could increase risk to us, (3) the active participation of our Head of Internal Audit in significant management decisions and (4) the limitations imposed on management from making material decisions on our behalf without the approval of our board of directors (such as taking on debt or engaging in acquisitions). Our board of directors has taken into account its discussions with management regarding our compensation practices, including the factors described above, and has concluded that any risks arising from our compensation policies and practices are not reasonably likely to have a material adverse effect on 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3"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Unless otherwise indicated, the table below sets forth, as of February 28, 2011, information with respect to the beneficial ownership of our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78"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each of our named executive officers;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our common stock;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The amounts and percentages of common stock beneficially owned as of February 28, 2011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February 28, 2011. Under these rules, more than one person may be deemed to be a beneficial owner of the same securities.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Owner(1)</w:t>
            </w:r>
          </w:p>
        </w:tc>
        <w:tc>
          <w:tcPr>
            <w:tcW w:w="27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8700" w:type="dxa"/>
            <w:vAlign w:val="bottom"/>
            <w:gridSpan w:val="3"/>
            <w:vMerge w:val="continue"/>
          </w:tcPr>
          <w:p>
            <w:pPr>
              <w:spacing w:after="0"/>
              <w:rPr>
                <w:sz w:val="12"/>
                <w:szCs w:val="12"/>
                <w:color w:val="auto"/>
              </w:rPr>
            </w:pPr>
          </w:p>
        </w:tc>
        <w:tc>
          <w:tcPr>
            <w:tcW w:w="1580" w:type="dxa"/>
            <w:vAlign w:val="bottom"/>
            <w:tcBorders>
              <w:top w:val="single" w:sz="8" w:color="auto"/>
            </w:tcBorders>
            <w:gridSpan w:val="2"/>
          </w:tcPr>
          <w:p>
            <w:pPr>
              <w:jc w:val="right"/>
              <w:ind w:right="9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Percentage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 Hill Partnerships(3)</w:t>
            </w:r>
          </w:p>
        </w:tc>
        <w:tc>
          <w:tcPr>
            <w:tcW w:w="6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10,542,504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Inc.(4)</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3,429,440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Wellington Management Company, LLP(5)</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2,746,209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Talwar(6)</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1,317,518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Kapoor(7)</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2,175,847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Bagai(8)</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127,842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Shashank(9)</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106,579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 Nacha(10)</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Vikas Bhalla(11)</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31,299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Rembert de Villa(12)</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28,585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Vishal Chhibbar(13)</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10,550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Gupta(14)</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27,474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Bloom(15)</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25,000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Gruber(16)</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22,410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V. Dardani(17)</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21,391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Karnik(18)</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34,364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Kelso(19)</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62,502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W. Ostler(20)</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47,965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Mohanbir Sawhney(21)</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20,161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Garen K. Staglin(22)</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75,465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(17 persons)(23)</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4,166,452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580" w:right="740" w:hanging="572"/>
        <w:spacing w:after="0" w:line="275"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beneficial owner is c/o ExlService Holdings, Inc., 280 Park Avenue, 38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10017.</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29,561,068 shares outstanding as of February 28, 2011.</w:t>
      </w:r>
    </w:p>
    <w:p>
      <w:pPr>
        <w:spacing w:after="0" w:line="76" w:lineRule="exact"/>
        <w:rPr>
          <w:rFonts w:ascii="Times New Roman" w:cs="Times New Roman" w:eastAsia="Times New Roman" w:hAnsi="Times New Roman"/>
          <w:sz w:val="18"/>
          <w:szCs w:val="18"/>
          <w:color w:val="auto"/>
        </w:rPr>
      </w:pPr>
    </w:p>
    <w:p>
      <w:pPr>
        <w:ind w:left="580" w:right="160" w:hanging="572"/>
        <w:spacing w:after="0" w:line="254"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Oak Hill Partnerships is 201 Main Street, Suite 1620, Fort Worth, TX 76102. This amount includes an aggregate of 10,278,942 shares of our common stock held by Oak Hill Capital Partners, L.P. and 263,562 shares of our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Jonathan E. Friesel, Michael S. Green, Steven B. Gruber, Stratton R. Heath III, Robert L. Morse Jr., Dennis J. Nayden and Rowan G.P. Taylor. Each of these individuals disclaims beneficial ownership of the shares owned by the Oak Hill Partnerships.</w:t>
      </w:r>
    </w:p>
    <w:p>
      <w:pPr>
        <w:spacing w:after="0" w:line="43"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on January 7, 2011. The business address of Blackrock, Inc. is 40 East 52nd Street, New York, NY 10022.</w:t>
      </w:r>
    </w:p>
    <w:p>
      <w:pPr>
        <w:spacing w:after="0" w:line="76" w:lineRule="exact"/>
        <w:rPr>
          <w:rFonts w:ascii="Times New Roman" w:cs="Times New Roman" w:eastAsia="Times New Roman" w:hAnsi="Times New Roman"/>
          <w:sz w:val="18"/>
          <w:szCs w:val="18"/>
          <w:color w:val="auto"/>
        </w:rPr>
      </w:pPr>
    </w:p>
    <w:p>
      <w:pPr>
        <w:ind w:left="580" w:right="460" w:hanging="572"/>
        <w:spacing w:after="0" w:line="275"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on February 14, 2011. The business address of Wellington Management Company, LLP is 280 Congress Street, Boston, MA 02210.</w:t>
      </w:r>
    </w:p>
    <w:p>
      <w:pPr>
        <w:spacing w:after="0" w:line="25" w:lineRule="exact"/>
        <w:rPr>
          <w:rFonts w:ascii="Times New Roman" w:cs="Times New Roman" w:eastAsia="Times New Roman" w:hAnsi="Times New Roman"/>
          <w:sz w:val="18"/>
          <w:szCs w:val="18"/>
          <w:color w:val="auto"/>
        </w:rPr>
      </w:pPr>
    </w:p>
    <w:p>
      <w:pPr>
        <w:ind w:left="580" w:right="40" w:hanging="572"/>
        <w:spacing w:after="0" w:line="301"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an aggregate of 553,653 shares of our common stock indirectly owned by Mr. Talwar through three separate three-year grantor retained annuity trusts. Mr. Talwar is the sole trustee of each of these trusts. This amount also includes 763,865 shares of our common stock owned indirectly by Mr. Talwar through a trust. Mr. Talwar and his spouse are the trustees of this trust and share dispositive and voting control over the shares in the trust. This amount includes 248,200 shares of our common stock of which Mr. Talwar has the right to acquire beneficial ownership within 60 days.</w:t>
      </w:r>
    </w:p>
    <w:p>
      <w:pPr>
        <w:spacing w:after="0" w:line="8" w:lineRule="exact"/>
        <w:rPr>
          <w:rFonts w:ascii="Times New Roman" w:cs="Times New Roman" w:eastAsia="Times New Roman" w:hAnsi="Times New Roman"/>
          <w:sz w:val="16"/>
          <w:szCs w:val="16"/>
          <w:color w:val="auto"/>
        </w:rPr>
      </w:pPr>
    </w:p>
    <w:p>
      <w:pPr>
        <w:ind w:left="580" w:hanging="572"/>
        <w:spacing w:after="0" w:line="285"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Times New Roman" w:cs="Times New Roman" w:eastAsia="Times New Roman" w:hAnsi="Times New Roman"/>
          <w:sz w:val="16"/>
          <w:szCs w:val="16"/>
          <w:color w:val="auto"/>
        </w:rPr>
      </w:pPr>
    </w:p>
    <w:p>
      <w:pPr>
        <w:jc w:val="both"/>
        <w:ind w:left="580" w:right="160"/>
        <w:spacing w:after="0" w:line="31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Kapoor’s spouse. Mr. Kapoor and Mr. Kapoor’s sister-in-law are the trustees of this trust and share dispositive and voting control over the shares in the trust. This amount includes 398,200 shares of our common stock of which Mr. Kapoor has the right to acquire beneficial ownership within 60 days.</w:t>
      </w:r>
    </w:p>
    <w:p>
      <w:pPr>
        <w:spacing w:after="0" w:line="1" w:lineRule="exact"/>
        <w:rPr>
          <w:rFonts w:ascii="Times New Roman" w:cs="Times New Roman" w:eastAsia="Times New Roman" w:hAnsi="Times New Roman"/>
          <w:sz w:val="16"/>
          <w:szCs w:val="16"/>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55,000 shares of our common stock of which Mr. Bagai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93,200 shares of our common stock of which Mr. Shashank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31,500 shares of our common stock of which Mr. Nacha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11,670 shares of our common stock of which Mr. Bhalla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27,800 shares of our common stock of which Mr. de Villa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10,550 shares of our common stock of which Mr. Chhibbar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17,700 shares of our common stock of which Mr. Gupta has the right to acquire beneficial ownership within 60 days.</w:t>
      </w:r>
    </w:p>
    <w:p>
      <w:pPr>
        <w:spacing w:after="0" w:line="7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zero shares of our common stock of which Mr. Bloom has the right to acquire beneficial ownership within 60 days.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580" w:right="6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22,410 shares of our common stock of which Mr. Gruber has the right to acquire beneficial ownership within 60 days and excludes 16,000 restricted stock units that will not settle within 60 days.</w:t>
      </w:r>
    </w:p>
    <w:p>
      <w:pPr>
        <w:spacing w:after="0" w:line="25" w:lineRule="exact"/>
        <w:rPr>
          <w:rFonts w:ascii="Times New Roman" w:cs="Times New Roman" w:eastAsia="Times New Roman" w:hAnsi="Times New Roman"/>
          <w:sz w:val="18"/>
          <w:szCs w:val="18"/>
          <w:color w:val="auto"/>
        </w:rPr>
      </w:pPr>
    </w:p>
    <w:p>
      <w:pPr>
        <w:ind w:left="58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21,391 shares of our common stock of which Mr. Dardani has the right to acquire beneficial ownership within 60 days and excludes 16,000 restricted stock units that will not settle within 60 days.</w:t>
      </w:r>
    </w:p>
    <w:p>
      <w:pPr>
        <w:spacing w:after="0" w:line="25" w:lineRule="exact"/>
        <w:rPr>
          <w:rFonts w:ascii="Times New Roman" w:cs="Times New Roman" w:eastAsia="Times New Roman" w:hAnsi="Times New Roman"/>
          <w:sz w:val="18"/>
          <w:szCs w:val="18"/>
          <w:color w:val="auto"/>
        </w:rPr>
      </w:pPr>
    </w:p>
    <w:p>
      <w:pPr>
        <w:ind w:left="580" w:right="8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34,364 shares of our common stock of which Mr. Karnik has the right to acquire beneficial ownership within 60 days and excludes 8,000 restricted stock units that will not settle within 60 days.</w:t>
      </w:r>
    </w:p>
    <w:p>
      <w:pPr>
        <w:spacing w:after="0" w:line="25" w:lineRule="exact"/>
        <w:rPr>
          <w:rFonts w:ascii="Times New Roman" w:cs="Times New Roman" w:eastAsia="Times New Roman" w:hAnsi="Times New Roman"/>
          <w:sz w:val="18"/>
          <w:szCs w:val="18"/>
          <w:color w:val="auto"/>
        </w:rPr>
      </w:pPr>
    </w:p>
    <w:p>
      <w:pPr>
        <w:ind w:left="580" w:right="16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57,502 shares of our common stock of which Mr. Kelso has the right to acquire beneficial ownership within 60 days and excludes 16,000 restricted stock units that will not settle within 60 days.</w:t>
      </w:r>
    </w:p>
    <w:p>
      <w:pPr>
        <w:spacing w:after="0" w:line="25" w:lineRule="exact"/>
        <w:rPr>
          <w:rFonts w:ascii="Times New Roman" w:cs="Times New Roman" w:eastAsia="Times New Roman" w:hAnsi="Times New Roman"/>
          <w:sz w:val="18"/>
          <w:szCs w:val="18"/>
          <w:color w:val="auto"/>
        </w:rPr>
      </w:pPr>
    </w:p>
    <w:p>
      <w:pPr>
        <w:ind w:left="580" w:right="14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47,965 shares of our common stock of which Mr. Ostler has the right to acquire beneficial ownership within 60 days and excludes 12,000 restricted stock units that will not settle within 60 days.</w:t>
      </w:r>
    </w:p>
    <w:p>
      <w:pPr>
        <w:spacing w:after="0" w:line="25" w:lineRule="exact"/>
        <w:rPr>
          <w:rFonts w:ascii="Times New Roman" w:cs="Times New Roman" w:eastAsia="Times New Roman" w:hAnsi="Times New Roman"/>
          <w:sz w:val="18"/>
          <w:szCs w:val="18"/>
          <w:color w:val="auto"/>
        </w:rPr>
      </w:pPr>
    </w:p>
    <w:p>
      <w:pPr>
        <w:ind w:left="580" w:right="58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20,161 shares of our common stock of which Mr. Sawhney has the right to acquire beneficial ownership within 60 days and excludes 16,000 restricted stock units that will not settle within 60 days.</w:t>
      </w:r>
    </w:p>
    <w:p>
      <w:pPr>
        <w:spacing w:after="0" w:line="25" w:lineRule="exact"/>
        <w:rPr>
          <w:rFonts w:ascii="Times New Roman" w:cs="Times New Roman" w:eastAsia="Times New Roman" w:hAnsi="Times New Roman"/>
          <w:sz w:val="18"/>
          <w:szCs w:val="18"/>
          <w:color w:val="auto"/>
        </w:rPr>
      </w:pPr>
    </w:p>
    <w:p>
      <w:pPr>
        <w:ind w:left="580" w:right="6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55,465 shares of our common stock of which Mr. Staglin has the right to acquire beneficial ownership within 60 days and excludes 16,000 restricted stock units that will not settle within 60 days.</w:t>
      </w:r>
    </w:p>
    <w:p>
      <w:pPr>
        <w:spacing w:after="0" w:line="25" w:lineRule="exact"/>
        <w:rPr>
          <w:rFonts w:ascii="Times New Roman" w:cs="Times New Roman" w:eastAsia="Times New Roman" w:hAnsi="Times New Roman"/>
          <w:sz w:val="18"/>
          <w:szCs w:val="18"/>
          <w:color w:val="auto"/>
        </w:rPr>
      </w:pPr>
    </w:p>
    <w:p>
      <w:pPr>
        <w:ind w:left="580" w:right="500" w:hanging="572"/>
        <w:spacing w:after="0" w:line="275" w:lineRule="auto"/>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an aggregate of 1,153,078 shares of our common stock of which our current directors and executive officers have the right to acquire beneficial ownership within 60 days.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800" w:firstLine="2824"/>
        <w:spacing w:after="0" w:line="345" w:lineRule="auto"/>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Review and Approval of Related Party Transactions</w:t>
      </w:r>
    </w:p>
    <w:p>
      <w:pPr>
        <w:spacing w:after="0" w:line="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person transactions. Under this policy, our General Counsel will review the facts and circumstances of any covered transaction. If our General Counsel determines that the transaction involves a related person transaction and that the amount involved does not equal or exceed $120,000, our General Counsel will approve or disapprove the transaction. If our General Counsel determines that the transaction involves a related person transaction and that the amount involved equals or exceeds $120,000, he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provide transformation services to Duane Reade Holdings, Inc., a New York City drugstore chain. Duane Reade Holdings, Inc. was, until April 2010, indirectly owned by entities related to the Oak Hill Partnerships, one of our significant stockholders. We recognized revenue of approximately $17,000 (until April 2010) in the year ended December 31, 2010 for fees and expense reimbursements from Duane Reade Holdings, Inc. At December 31, 2010, we had no account receivable related to these services.</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provide services to Oak Hill Capital Partners, one of the Company’s significant stockholders. We recognized revenue of $82,000 in the year ended December 31, 2010 for fees and expense reimbursements from Oak Hill Capital Partners. At December 31, 2010, we had an account receivable of $9,000 related to these services.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73"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of the board of directors of ExlService Holdings, Inc. oversees and assists our board of directors in fulfilling its oversight responsibilities with respect to:</w:t>
      </w:r>
    </w:p>
    <w:p>
      <w:pPr>
        <w:spacing w:after="0" w:line="39" w:lineRule="exact"/>
        <w:rPr>
          <w:sz w:val="20"/>
          <w:szCs w:val="20"/>
          <w:color w:val="auto"/>
        </w:rPr>
      </w:pPr>
    </w:p>
    <w:p>
      <w:pPr>
        <w:ind w:left="900" w:right="20" w:hanging="325"/>
        <w:spacing w:after="0" w:line="275"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registered independent public accounting firm’s qualifications and independence,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of our financial statements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met with management and Ernst &amp; Young LLP to review and discuss the December 31, 2010 audited consolidated financial statements. The Audit Committee also discussed with Ernst &amp; Young LLP the matters required to be discussed by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approved the inclusion of the audited financial statements in the Company’s Annual Report on Form 10-K for 2010.</w:t>
      </w:r>
    </w:p>
    <w:p>
      <w:pPr>
        <w:spacing w:after="0" w:line="1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David B. Kelso (Chairman)</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Mr. Clyde W. Ostler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Dr. Mohanbir Sawhney</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45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Nominees</w:t>
      </w:r>
    </w:p>
    <w:p>
      <w:pPr>
        <w:spacing w:after="0" w:line="92"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Our Nominating and Governance Committee has nominated, and our board of directors has designated, Messrs. Kelso, Ostler and Talwar for election as Class II directors at the Annual Meeting.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Nominees</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220" w:type="dxa"/>
            <w:vAlign w:val="bottom"/>
          </w:tcPr>
          <w:p>
            <w:pPr>
              <w:spacing w:after="0"/>
              <w:rPr>
                <w:sz w:val="15"/>
                <w:szCs w:val="15"/>
                <w:color w:val="auto"/>
              </w:rPr>
            </w:pPr>
          </w:p>
        </w:tc>
        <w:tc>
          <w:tcPr>
            <w:tcW w:w="650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Committee/Position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5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July 2006</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0" w:type="dxa"/>
            <w:vAlign w:val="bottom"/>
          </w:tcPr>
          <w:p>
            <w:pPr>
              <w:spacing w:after="0"/>
              <w:rPr>
                <w:sz w:val="1"/>
                <w:szCs w:val="1"/>
                <w:color w:val="auto"/>
              </w:rPr>
            </w:pPr>
          </w:p>
        </w:tc>
      </w:tr>
      <w:tr>
        <w:trPr>
          <w:trHeight w:val="282"/>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Clyde W. Ostler</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2007</w:t>
            </w:r>
          </w:p>
        </w:tc>
        <w:tc>
          <w:tcPr>
            <w:tcW w:w="2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November 2002</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Nominating and Governance Committee Member</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2" w:lineRule="exact"/>
        <w:rPr>
          <w:sz w:val="20"/>
          <w:szCs w:val="20"/>
          <w:color w:val="auto"/>
        </w:rPr>
      </w:pPr>
    </w:p>
    <w:p>
      <w:pPr>
        <w:ind w:right="440" w:firstLine="456"/>
        <w:spacing w:after="0" w:line="339" w:lineRule="auto"/>
        <w:rPr>
          <w:sz w:val="20"/>
          <w:szCs w:val="20"/>
          <w:color w:val="auto"/>
        </w:rPr>
      </w:pPr>
      <w:r>
        <w:rPr>
          <w:rFonts w:ascii="Times New Roman" w:cs="Times New Roman" w:eastAsia="Times New Roman" w:hAnsi="Times New Roman"/>
          <w:sz w:val="16"/>
          <w:szCs w:val="16"/>
          <w:color w:val="auto"/>
        </w:rPr>
        <w:t>The affirmative vote of the plurality of shares present in person or represented by proxy and entitled to vote at the Annual Meeting will elect the three nominees as Class II directors for the specified three-year term. Unless marked to the contrary, proxies received will be voted “FOR” the nominees.</w:t>
      </w:r>
    </w:p>
    <w:p>
      <w:pPr>
        <w:spacing w:after="0" w:line="72" w:lineRule="exact"/>
        <w:rPr>
          <w:sz w:val="20"/>
          <w:szCs w:val="20"/>
          <w:color w:val="auto"/>
        </w:rPr>
      </w:pPr>
    </w:p>
    <w:p>
      <w:pPr>
        <w:jc w:val="center"/>
        <w:ind w:right="460"/>
        <w:spacing w:after="0" w:line="449"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FOR the election of Messrs. Kelso, Ostler and Talwar as Class II directors of the Company. </w:t>
      </w: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THE APPOINTMENT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59"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Our Audit Committee has selected Ernst &amp; Young LLP as independent registered public accounting firm to audit our and our subsidiaries’ books, records and accounts for the fiscal year 2011.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2009 and 2010. Representatives of Ernst &amp; Young LLP are expected to be present at the Annual Meeting. They will have an opportunity to make a statement, if they desire to do so, and will be available to respond to appropriate questions.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fees billed to us by Ernst &amp; Young LLP for professional services rendered for fiscal years 2010 and 2009:</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52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r>
      <w:tr>
        <w:trPr>
          <w:trHeight w:val="165"/>
        </w:trPr>
        <w:tc>
          <w:tcPr>
            <w:tcW w:w="9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3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70"/>
              </w:rPr>
              <w:t>thousands)</w:t>
            </w: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$744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$892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8"/>
                <w:szCs w:val="18"/>
                <w:color w:val="auto"/>
              </w:rPr>
            </w:pPr>
          </w:p>
        </w:tc>
      </w:tr>
    </w:tbl>
    <w:p>
      <w:pPr>
        <w:spacing w:after="0" w:line="146" w:lineRule="exact"/>
        <w:rPr>
          <w:sz w:val="20"/>
          <w:szCs w:val="20"/>
          <w:color w:val="auto"/>
        </w:rPr>
      </w:pPr>
    </w:p>
    <w:p>
      <w:pPr>
        <w:ind w:right="12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Consist of fees billed for professional services rendered for the audit of our consolidated financial statements, including the audit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93"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Consist of fees billed for assurance and related services that are reasonably related to the performance of the audit or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and are not reported under “Audit Fees.” These services include SAS 70 service organization audits, due diligence in connection with acquisitions and information systems audits.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Consist of fees for transfer pricing studies completed for our subsidiaries.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Fees</w:t>
      </w:r>
      <w:r>
        <w:rPr>
          <w:rFonts w:ascii="Times New Roman" w:cs="Times New Roman" w:eastAsia="Times New Roman" w:hAnsi="Times New Roman"/>
          <w:sz w:val="18"/>
          <w:szCs w:val="18"/>
          <w:color w:val="auto"/>
        </w:rPr>
        <w:t>. Consist of fees for assessments of information systems.</w:t>
      </w:r>
    </w:p>
    <w:p>
      <w:pPr>
        <w:spacing w:after="0" w:line="17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0" w:lineRule="exact"/>
        <w:rPr>
          <w:sz w:val="20"/>
          <w:szCs w:val="20"/>
          <w:color w:val="auto"/>
        </w:rPr>
      </w:pPr>
    </w:p>
    <w:p>
      <w:pPr>
        <w:jc w:val="center"/>
        <w:ind w:left="440" w:right="260"/>
        <w:spacing w:after="0" w:line="449"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FOR the ratification of Ernst &amp; Young LLP as our independent registered public accounting firm. </w:t>
      </w:r>
      <w:r>
        <w:rPr>
          <w:rFonts w:ascii="Times New Roman" w:cs="Times New Roman" w:eastAsia="Times New Roman" w:hAnsi="Times New Roman"/>
          <w:sz w:val="18"/>
          <w:szCs w:val="18"/>
          <w:color w:val="auto"/>
        </w:rPr>
        <w:t>50</w:t>
      </w:r>
    </w:p>
    <w:p>
      <w:pPr>
        <w:sectPr>
          <w:pgSz w:w="11900" w:h="16838" w:orient="portrait"/>
          <w:cols w:equalWidth="0" w:num="1">
            <w:col w:w="11300"/>
          </w:cols>
          <w:pgMar w:left="24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 ADVISORY (NON-BINDING) VOTE ON EXECUTIVE COMPENSATION</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required by the Dodd-Frank Wall Street Reform and Consumer Protection Act (the “Dodd-Frank Act”), our stockholders are being provided with an advisory (non-binding) vote on the compensation of our executive officers.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3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say-on-pay vote is required for the first annual meeting at which directors are being elected on or after January 21, 2011, and then must be offered to our stockholders at least once every three years thereafter.</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is committed to corporate governance best practices and recognizes the significant interest of stockholders in executive compensation matters. As discussed in the Compensation Discussion and Analysis, our board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three core financial metrics: revenues, Adjusted EBIT and New Account Revenues. As we discuss in greater detail in our Compensation Discussion and Analysis, these three financial metrics focus our named executive officers on top-line revenues, bottom-line earnings and establishment of new strategic client relationships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3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 addition, our philosophy places more emphasis on variable elements of compensation (such as incentive bonuses and equity-based compensation) than fixed remuneration.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stockholders have the opportunity to vote for, against or abstain from voting on the following resolution:</w:t>
      </w:r>
    </w:p>
    <w:p>
      <w:pPr>
        <w:spacing w:after="0" w:line="88" w:lineRule="exact"/>
        <w:rPr>
          <w:sz w:val="20"/>
          <w:szCs w:val="20"/>
          <w:color w:val="auto"/>
        </w:rPr>
      </w:pPr>
    </w:p>
    <w:p>
      <w:pPr>
        <w:ind w:left="460"/>
        <w:spacing w:after="0" w:line="264" w:lineRule="auto"/>
        <w:rPr>
          <w:sz w:val="20"/>
          <w:szCs w:val="20"/>
          <w:color w:val="auto"/>
        </w:rPr>
      </w:pPr>
      <w:r>
        <w:rPr>
          <w:rFonts w:ascii="Times New Roman" w:cs="Times New Roman" w:eastAsia="Times New Roman" w:hAnsi="Times New Roman"/>
          <w:sz w:val="18"/>
          <w:szCs w:val="18"/>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above-referenced disclosures appear beginning at page 14 of this proxy statement.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30" w:lineRule="exact"/>
        <w:rPr>
          <w:sz w:val="20"/>
          <w:szCs w:val="20"/>
          <w:color w:val="auto"/>
        </w:rPr>
      </w:pPr>
    </w:p>
    <w:p>
      <w:pPr>
        <w:ind w:right="4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 ADVISORY (NON-BINDING) VOTE ON HOW FREQUENTLY STOCKHOLDERS SHOULD VOTE TO APPROVE COMPENSATION OF THE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5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required by the Dodd-Frank Act, our stockholders are being provided with an advisory (non-binding) vote on how frequently our stockholders should have an advisory (non-binding) vote on the compensation of our executive officers. Although the vote is advisory and is not binding on the Board of Directors, our Compensation Committee will take into account the outcome of the vote when considering how frequently to hold say-on-pay votes. We refer to this non-binding advisory vote as the “say-on-frequency” vote. You may choose from the following alternatives: every year, every two years, every three years or you may abstain.</w:t>
      </w:r>
    </w:p>
    <w:p>
      <w:pPr>
        <w:spacing w:after="0" w:line="13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say-on-frequency vote is required for the first annual meeting at which directors are being elected on or after January 21, 2011, and then must be offered to our stockholders at least once every six years thereafter.</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having an annual say-on-pay vote to approve the compensation of our executive officers in satisfaction of U.S. disclosure rules is appropriate. Moreover, our board of directors believes that more frequent say-on-pay votes will permit our board of directors to receive current feedback on a timely basis from our stockholders regarding our compensation program for our executive officers, which will enable us to implement more quickly any modifications that our board of directors determines to be appropriate.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Holding a non-binding advisory vote </w:t>
      </w:r>
      <w:r>
        <w:rPr>
          <w:rFonts w:ascii="Times New Roman" w:cs="Times New Roman" w:eastAsia="Times New Roman" w:hAnsi="Times New Roman"/>
          <w:sz w:val="18"/>
          <w:szCs w:val="18"/>
          <w:u w:val="single" w:color="auto"/>
          <w:color w:val="auto"/>
        </w:rPr>
        <w:t>every year</w:t>
      </w:r>
      <w:r>
        <w:rPr>
          <w:rFonts w:ascii="Times New Roman" w:cs="Times New Roman" w:eastAsia="Times New Roman" w:hAnsi="Times New Roman"/>
          <w:sz w:val="18"/>
          <w:szCs w:val="18"/>
          <w:color w:val="auto"/>
        </w:rPr>
        <w:t xml:space="preserve"> to approve the compensation of our executive officers requires the affirmative vote of a majority of shares present in person or represented by proxy and entitled to vote at the Annual Meeting. Unless marked to the contrary, proxies received will be voted “FOR” holding a non-binding advisory vote </w:t>
      </w:r>
      <w:r>
        <w:rPr>
          <w:rFonts w:ascii="Times New Roman" w:cs="Times New Roman" w:eastAsia="Times New Roman" w:hAnsi="Times New Roman"/>
          <w:sz w:val="18"/>
          <w:szCs w:val="18"/>
          <w:u w:val="single" w:color="auto"/>
          <w:color w:val="auto"/>
        </w:rPr>
        <w:t>every year</w:t>
      </w:r>
      <w:r>
        <w:rPr>
          <w:rFonts w:ascii="Times New Roman" w:cs="Times New Roman" w:eastAsia="Times New Roman" w:hAnsi="Times New Roman"/>
          <w:sz w:val="18"/>
          <w:szCs w:val="18"/>
          <w:color w:val="auto"/>
        </w:rPr>
        <w:t xml:space="preserve"> to approve the compensation of our executive officers.</w:t>
      </w:r>
    </w:p>
    <w:p>
      <w:pPr>
        <w:spacing w:after="0" w:line="130"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FOR approval on an advisory basis for holding a non-binding advisory vote </w:t>
      </w:r>
      <w:r>
        <w:rPr>
          <w:rFonts w:ascii="Times New Roman" w:cs="Times New Roman" w:eastAsia="Times New Roman" w:hAnsi="Times New Roman"/>
          <w:sz w:val="18"/>
          <w:szCs w:val="18"/>
          <w:b w:val="1"/>
          <w:bCs w:val="1"/>
          <w:u w:val="single" w:color="auto"/>
          <w:color w:val="auto"/>
        </w:rPr>
        <w:t>every year</w:t>
      </w:r>
      <w:r>
        <w:rPr>
          <w:rFonts w:ascii="Times New Roman" w:cs="Times New Roman" w:eastAsia="Times New Roman" w:hAnsi="Times New Roman"/>
          <w:sz w:val="18"/>
          <w:szCs w:val="18"/>
          <w:b w:val="1"/>
          <w:bCs w:val="1"/>
          <w:color w:val="auto"/>
        </w:rPr>
        <w:t xml:space="preserve"> to approve the compensation of our executive officers as disclosed pursuant to the compensation disclosure rules of the SEC.</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FOR THE 2012 ANNUAL MEETING</w:t>
      </w:r>
    </w:p>
    <w:p>
      <w:pPr>
        <w:spacing w:after="0" w:line="17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a stockholder wishes to present a proposal to be included in our Proxy Statement for our 2012 Annual Meeting of Stockholders, the proponent and the proposal must comply with the proxy proposal submission rules of the SEC. One of the requirements is that the proposal must be received by the Corporate Secretary of the Company no later than January 2, 2012. Proposals we receive after that date will not be included in the Proxy Statement. We urge stockholders to submit proposals by certified mail, return receipt requested.</w:t>
      </w:r>
    </w:p>
    <w:p>
      <w:pPr>
        <w:spacing w:after="0" w:line="13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 stockholder proposal not included in our Proxy Statement for the 2012 Annual Meeting will be ineligible for presentation at the 2012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us, or mailed and received by us, not less than 90 nor more than 120 days prior to the first anniversary date of the 2011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through the SEC’s Internet website at www.sec.gov.</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73"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Certain U.S. dollar figures in this proxy statement have been converted from Indian rupees at a rate of 44.71 rupees to $1.00, the rupee to U.S. dollar exchange rate in effect as on December 31, 2010.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you are the beneficial owner, but not the record holder, of shares of our common stock, your broker, bank, trust or other nominee may only deliver one copy of this proxy statement and our 2010 Annual Report to multiple stockholders who share an address unless that nominee has received contrary instructions from one or more of the stockholders. We will deliver promptly, upon written or oral request, a separate copy of this proxy statement and our 2010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Access to Proxy Statement and Annual Report</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This proxy statement and our 2010 Annual Report of Form 10-K may be viewed at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20" w:lineRule="exact"/>
        <w:rPr>
          <w:sz w:val="20"/>
          <w:szCs w:val="20"/>
          <w:color w:val="auto"/>
        </w:rPr>
      </w:pPr>
    </w:p>
    <w:p>
      <w:pPr>
        <w:jc w:val="right"/>
        <w:ind w:left="460" w:right="2640"/>
        <w:spacing w:after="0" w:line="463" w:lineRule="auto"/>
        <w:rPr>
          <w:sz w:val="20"/>
          <w:szCs w:val="20"/>
          <w:color w:val="auto"/>
        </w:rPr>
      </w:pPr>
      <w:r>
        <w:rPr>
          <w:rFonts w:ascii="Times New Roman" w:cs="Times New Roman" w:eastAsia="Times New Roman" w:hAnsi="Times New Roman"/>
          <w:sz w:val="18"/>
          <w:szCs w:val="18"/>
          <w:color w:val="auto"/>
        </w:rPr>
        <w:t>Whether or not you intend to be present at the Annual Meeting, we urge you to submit your signed proxy promptly.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209040" cy="5918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90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Amit Shashank</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2011</w:t>
      </w:r>
    </w:p>
    <w:p>
      <w:pPr>
        <w:spacing w:after="0" w:line="157"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Our 2010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280 Park Avenue, 38</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Floor, New York, NY 10017, Attention: Investor Relations. The request must include a representation by the stockholder that as of May 3, 2011, the stockholder was entitled to vote at the Annual Meeting.</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24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280" w:right="3997" w:hanging="272"/>
        <w:spacing w:after="0" w:line="328" w:lineRule="auto"/>
        <w:tabs>
          <w:tab w:leader="none" w:pos="288" w:val="left"/>
        </w:tabs>
        <w:numPr>
          <w:ilvl w:val="0"/>
          <w:numId w:val="55"/>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PLEASE MARK VOTES AS IN THIS EXAMPLE</w:t>
      </w:r>
    </w:p>
    <w:p>
      <w:pPr>
        <w:spacing w:after="0" w:line="41" w:lineRule="exact"/>
        <w:rPr>
          <w:sz w:val="20"/>
          <w:szCs w:val="20"/>
          <w:color w:val="auto"/>
        </w:rPr>
      </w:pPr>
    </w:p>
    <w:p>
      <w:pPr>
        <w:jc w:val="center"/>
        <w:ind w:right="417"/>
        <w:spacing w:after="0" w:line="236" w:lineRule="auto"/>
        <w:rPr>
          <w:sz w:val="20"/>
          <w:szCs w:val="20"/>
          <w:color w:val="auto"/>
        </w:rPr>
      </w:pPr>
      <w:r>
        <w:rPr>
          <w:rFonts w:ascii="Times New Roman" w:cs="Times New Roman" w:eastAsia="Times New Roman" w:hAnsi="Times New Roman"/>
          <w:sz w:val="14"/>
          <w:szCs w:val="14"/>
          <w:b w:val="1"/>
          <w:bCs w:val="1"/>
          <w:color w:val="auto"/>
        </w:rPr>
        <w:t>PROXY SOLICITED BY THE BOARD OF DIRECTORS FOR THE ANNUAL MEETING OF STOCKHOLDERS June 17, 2011</w:t>
      </w:r>
    </w:p>
    <w:p>
      <w:pPr>
        <w:spacing w:after="0" w:line="96" w:lineRule="exact"/>
        <w:rPr>
          <w:sz w:val="20"/>
          <w:szCs w:val="20"/>
          <w:color w:val="auto"/>
        </w:rPr>
      </w:pPr>
    </w:p>
    <w:p>
      <w:pPr>
        <w:ind w:right="737" w:firstLine="432"/>
        <w:spacing w:after="0" w:line="267" w:lineRule="auto"/>
        <w:rPr>
          <w:sz w:val="20"/>
          <w:szCs w:val="20"/>
          <w:color w:val="auto"/>
        </w:rPr>
      </w:pPr>
      <w:r>
        <w:rPr>
          <w:rFonts w:ascii="Times New Roman" w:cs="Times New Roman" w:eastAsia="Times New Roman" w:hAnsi="Times New Roman"/>
          <w:sz w:val="12"/>
          <w:szCs w:val="12"/>
          <w:color w:val="auto"/>
        </w:rPr>
        <w:t>Vikram Talwar, Vishal Chhibbar and Amit Shashank, or any one of them, each with the power of substitution and revocation, are hereby authorized to represent the undersigned, with all powers which the undersigned would possess if personally present, to vote the Common Stock of the undersigned at the annual meeting of stockholders of ExlService Holdings, Inc. (the “Company”) to be held at The Ritz-Carlton, Westchester, Three Renaissance Square, White Plains, New York 10601, on June 17, 2011 at 9:00 AM, Eastern Time, and at any postponements or adjournments of that meeting, as set forth below, and in their discretion upon any other business that may properly come before the meeting.</w:t>
      </w:r>
    </w:p>
    <w:p>
      <w:pPr>
        <w:spacing w:after="0" w:line="163" w:lineRule="exact"/>
        <w:rPr>
          <w:sz w:val="20"/>
          <w:szCs w:val="20"/>
          <w:color w:val="auto"/>
        </w:rPr>
      </w:pPr>
    </w:p>
    <w:p>
      <w:pPr>
        <w:ind w:right="917" w:firstLine="432"/>
        <w:spacing w:after="0" w:line="241" w:lineRule="auto"/>
        <w:rPr>
          <w:sz w:val="20"/>
          <w:szCs w:val="20"/>
          <w:color w:val="auto"/>
        </w:rPr>
      </w:pPr>
      <w:r>
        <w:rPr>
          <w:rFonts w:ascii="Times New Roman" w:cs="Times New Roman" w:eastAsia="Times New Roman" w:hAnsi="Times New Roman"/>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2317"/>
        <w:spacing w:after="0"/>
        <w:rPr>
          <w:sz w:val="20"/>
          <w:szCs w:val="20"/>
          <w:color w:val="auto"/>
        </w:rPr>
      </w:pPr>
      <w:r>
        <w:rPr>
          <w:rFonts w:ascii="Times New Roman" w:cs="Times New Roman" w:eastAsia="Times New Roman" w:hAnsi="Times New Roman"/>
          <w:sz w:val="14"/>
          <w:szCs w:val="14"/>
          <w:b w:val="1"/>
          <w:bCs w:val="1"/>
          <w:color w:val="auto"/>
        </w:rPr>
        <w:t>REVOCABLE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-90805</wp:posOffset>
            </wp:positionV>
            <wp:extent cx="531495"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1495" cy="197485"/>
                    </a:xfrm>
                    <a:prstGeom prst="rect">
                      <a:avLst/>
                    </a:prstGeom>
                    <a:noFill/>
                  </pic:spPr>
                </pic:pic>
              </a:graphicData>
            </a:graphic>
          </wp:anchor>
        </w:drawing>
      </w:r>
    </w:p>
    <w:p>
      <w:pPr>
        <w:jc w:val="center"/>
        <w:ind w:right="2317"/>
        <w:spacing w:after="0"/>
        <w:rPr>
          <w:sz w:val="20"/>
          <w:szCs w:val="20"/>
          <w:color w:val="auto"/>
        </w:rPr>
      </w:pPr>
      <w:r>
        <w:rPr>
          <w:rFonts w:ascii="Times New Roman" w:cs="Times New Roman" w:eastAsia="Times New Roman" w:hAnsi="Times New Roman"/>
          <w:sz w:val="14"/>
          <w:szCs w:val="14"/>
          <w:b w:val="1"/>
          <w:bCs w:val="1"/>
          <w:color w:val="auto"/>
        </w:rPr>
        <w:t>EXLSERVICE HOLDINGS, INC.</w:t>
      </w:r>
    </w:p>
    <w:p>
      <w:pPr>
        <w:spacing w:after="0" w:line="79"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4"/>
              </w:rPr>
              <w:t>WITH-</w:t>
            </w:r>
          </w:p>
        </w:tc>
        <w:tc>
          <w:tcPr>
            <w:tcW w:w="70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3"/>
              </w:rPr>
              <w:t>FOR ALL</w:t>
            </w:r>
          </w:p>
        </w:tc>
      </w:tr>
      <w:tr>
        <w:trPr>
          <w:trHeight w:val="178"/>
        </w:trPr>
        <w:tc>
          <w:tcPr>
            <w:tcW w:w="3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HOLD</w:t>
            </w:r>
          </w:p>
        </w:tc>
        <w:tc>
          <w:tcPr>
            <w:tcW w:w="70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5"/>
              </w:rPr>
              <w:t>EXCEPT</w:t>
            </w:r>
          </w:p>
        </w:tc>
      </w:tr>
      <w:tr>
        <w:trPr>
          <w:trHeight w:val="393"/>
        </w:trPr>
        <w:tc>
          <w:tcPr>
            <w:tcW w:w="3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75"/>
              </w:rPr>
              <w:t>1.</w:t>
            </w:r>
          </w:p>
        </w:tc>
        <w:tc>
          <w:tcPr>
            <w:tcW w:w="2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 elect three directors (except as</w:t>
            </w:r>
          </w:p>
        </w:tc>
        <w:tc>
          <w:tcPr>
            <w:tcW w:w="5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4"/>
        </w:trPr>
        <w:tc>
          <w:tcPr>
            <w:tcW w:w="320" w:type="dxa"/>
            <w:vAlign w:val="bottom"/>
          </w:tcPr>
          <w:p>
            <w:pPr>
              <w:spacing w:after="0"/>
              <w:rPr>
                <w:sz w:val="15"/>
                <w:szCs w:val="15"/>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marked to the contrary below):</w:t>
            </w: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81"/>
        </w:trPr>
        <w:tc>
          <w:tcPr>
            <w:tcW w:w="320" w:type="dxa"/>
            <w:vAlign w:val="bottom"/>
          </w:tcPr>
          <w:p>
            <w:pPr>
              <w:spacing w:after="0"/>
              <w:rPr>
                <w:sz w:val="24"/>
                <w:szCs w:val="24"/>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8"/>
        </w:trPr>
        <w:tc>
          <w:tcPr>
            <w:tcW w:w="320" w:type="dxa"/>
            <w:vAlign w:val="bottom"/>
          </w:tcPr>
          <w:p>
            <w:pPr>
              <w:spacing w:after="0"/>
              <w:rPr>
                <w:sz w:val="15"/>
                <w:szCs w:val="15"/>
                <w:color w:val="auto"/>
              </w:rPr>
            </w:pPr>
          </w:p>
        </w:tc>
        <w:tc>
          <w:tcPr>
            <w:tcW w:w="2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(1) David B. Kelso  (2) Clyde W. Ostler</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 Vikram Talwar</w:t>
            </w:r>
          </w:p>
        </w:tc>
        <w:tc>
          <w:tcPr>
            <w:tcW w:w="700" w:type="dxa"/>
            <w:vAlign w:val="bottom"/>
          </w:tcPr>
          <w:p>
            <w:pPr>
              <w:spacing w:after="0"/>
              <w:rPr>
                <w:sz w:val="15"/>
                <w:szCs w:val="15"/>
                <w:color w:val="auto"/>
              </w:rPr>
            </w:pPr>
          </w:p>
        </w:tc>
      </w:tr>
    </w:tbl>
    <w:p>
      <w:pPr>
        <w:spacing w:after="0" w:line="294" w:lineRule="exact"/>
        <w:rPr>
          <w:sz w:val="20"/>
          <w:szCs w:val="20"/>
          <w:color w:val="auto"/>
        </w:rPr>
      </w:pPr>
    </w:p>
    <w:p>
      <w:pPr>
        <w:jc w:val="both"/>
        <w:ind w:left="523" w:right="60"/>
        <w:spacing w:after="0" w:line="236" w:lineRule="auto"/>
        <w:rPr>
          <w:sz w:val="20"/>
          <w:szCs w:val="20"/>
          <w:color w:val="auto"/>
        </w:rPr>
      </w:pPr>
      <w:r>
        <w:rPr>
          <w:rFonts w:ascii="Times New Roman" w:cs="Times New Roman" w:eastAsia="Times New Roman" w:hAnsi="Times New Roman"/>
          <w:sz w:val="14"/>
          <w:szCs w:val="14"/>
          <w:b w:val="1"/>
          <w:bCs w:val="1"/>
          <w:color w:val="auto"/>
        </w:rPr>
        <w:t>INSTRUCTION: To withhold authority to vote for any individual nominee, mark “For All Except” and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95250</wp:posOffset>
            </wp:positionV>
            <wp:extent cx="28644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3" w:type="dxa"/>
        <w:tblCellMar>
          <w:top w:w="0" w:type="dxa"/>
          <w:left w:w="0" w:type="dxa"/>
          <w:bottom w:w="0" w:type="dxa"/>
          <w:right w:w="0" w:type="dxa"/>
        </w:tblCellMar>
      </w:tblPr>
      <w:tr>
        <w:trPr>
          <w:trHeight w:val="178"/>
        </w:trPr>
        <w:tc>
          <w:tcPr>
            <w:tcW w:w="320" w:type="dxa"/>
            <w:vAlign w:val="bottom"/>
          </w:tcPr>
          <w:p>
            <w:pPr>
              <w:spacing w:after="0"/>
              <w:rPr>
                <w:sz w:val="15"/>
                <w:szCs w:val="15"/>
                <w:color w:val="auto"/>
              </w:rPr>
            </w:pPr>
          </w:p>
        </w:tc>
        <w:tc>
          <w:tcPr>
            <w:tcW w:w="30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93"/>
              </w:rPr>
              <w:t>ABSTAIN</w:t>
            </w:r>
          </w:p>
        </w:tc>
      </w:tr>
      <w:tr>
        <w:trPr>
          <w:trHeight w:val="244"/>
        </w:trPr>
        <w:tc>
          <w:tcPr>
            <w:tcW w:w="3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w w:val="75"/>
              </w:rPr>
              <w:t>2.</w:t>
            </w:r>
          </w:p>
        </w:tc>
        <w:tc>
          <w:tcPr>
            <w:tcW w:w="3060" w:type="dxa"/>
            <w:vAlign w:val="bottom"/>
          </w:tcPr>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To ratify the selection of Ernst &amp; Young   </w:t>
            </w:r>
            <w:r>
              <w:rPr>
                <w:rFonts w:ascii="MS PGothic" w:cs="MS PGothic" w:eastAsia="MS PGothic" w:hAnsi="MS PGothic"/>
                <w:sz w:val="14"/>
                <w:szCs w:val="14"/>
                <w:color w:val="auto"/>
              </w:rPr>
              <w:t>☐</w:t>
            </w:r>
          </w:p>
        </w:tc>
        <w:tc>
          <w:tcPr>
            <w:tcW w:w="8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r>
      <w:tr>
        <w:trPr>
          <w:trHeight w:val="149"/>
        </w:trPr>
        <w:tc>
          <w:tcPr>
            <w:tcW w:w="320" w:type="dxa"/>
            <w:vAlign w:val="bottom"/>
          </w:tcPr>
          <w:p>
            <w:pPr>
              <w:spacing w:after="0"/>
              <w:rPr>
                <w:sz w:val="12"/>
                <w:szCs w:val="12"/>
                <w:color w:val="auto"/>
              </w:rPr>
            </w:pPr>
          </w:p>
        </w:tc>
        <w:tc>
          <w:tcPr>
            <w:tcW w:w="3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LLP as the independent registered public</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320" w:type="dxa"/>
            <w:vAlign w:val="bottom"/>
          </w:tcPr>
          <w:p>
            <w:pPr>
              <w:spacing w:after="0"/>
              <w:rPr>
                <w:sz w:val="15"/>
                <w:szCs w:val="15"/>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accounting firm of the Company.</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82" w:lineRule="exact"/>
        <w:rPr>
          <w:sz w:val="20"/>
          <w:szCs w:val="20"/>
          <w:color w:val="auto"/>
        </w:rPr>
      </w:pPr>
    </w:p>
    <w:p>
      <w:pPr>
        <w:ind w:left="523" w:right="2180" w:hanging="523"/>
        <w:spacing w:after="0" w:line="321" w:lineRule="auto"/>
        <w:tabs>
          <w:tab w:leader="none" w:pos="656"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the compensation of the named executive officers of the Company.</w:t>
      </w:r>
    </w:p>
    <w:p>
      <w:pPr>
        <w:spacing w:after="0" w:line="36" w:lineRule="exact"/>
        <w:rPr>
          <w:rFonts w:ascii="Times New Roman" w:cs="Times New Roman" w:eastAsia="Times New Roman" w:hAnsi="Times New Roman"/>
          <w:sz w:val="12"/>
          <w:szCs w:val="12"/>
          <w:color w:val="auto"/>
        </w:rPr>
      </w:pPr>
    </w:p>
    <w:p>
      <w:pPr>
        <w:ind w:left="523" w:right="2160" w:hanging="523"/>
        <w:spacing w:after="0" w:line="231" w:lineRule="auto"/>
        <w:tabs>
          <w:tab w:leader="none" w:pos="65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hold a non-binding advisory vote </w:t>
      </w:r>
      <w:r>
        <w:rPr>
          <w:rFonts w:ascii="Times New Roman" w:cs="Times New Roman" w:eastAsia="Times New Roman" w:hAnsi="Times New Roman"/>
          <w:sz w:val="14"/>
          <w:szCs w:val="14"/>
          <w:u w:val="single" w:color="auto"/>
          <w:color w:val="auto"/>
        </w:rPr>
        <w:t>every year</w:t>
      </w:r>
      <w:r>
        <w:rPr>
          <w:rFonts w:ascii="Times New Roman" w:cs="Times New Roman" w:eastAsia="Times New Roman" w:hAnsi="Times New Roman"/>
          <w:sz w:val="14"/>
          <w:szCs w:val="14"/>
          <w:color w:val="auto"/>
        </w:rPr>
        <w:t xml:space="preserve"> to approve the compensation of the named executive officers of the Company.</w:t>
      </w:r>
    </w:p>
    <w:p>
      <w:pPr>
        <w:spacing w:after="0" w:line="78" w:lineRule="exact"/>
        <w:rPr>
          <w:sz w:val="20"/>
          <w:szCs w:val="20"/>
          <w:color w:val="auto"/>
        </w:rPr>
      </w:pPr>
    </w:p>
    <w:p>
      <w:pPr>
        <w:ind w:left="523" w:right="140"/>
        <w:spacing w:after="0" w:line="236" w:lineRule="auto"/>
        <w:rPr>
          <w:sz w:val="20"/>
          <w:szCs w:val="20"/>
          <w:color w:val="auto"/>
        </w:rPr>
      </w:pPr>
      <w:r>
        <w:rPr>
          <w:rFonts w:ascii="Times New Roman" w:cs="Times New Roman" w:eastAsia="Times New Roman" w:hAnsi="Times New Roman"/>
          <w:sz w:val="14"/>
          <w:szCs w:val="14"/>
          <w:b w:val="1"/>
          <w:bCs w:val="1"/>
          <w:color w:val="auto"/>
        </w:rPr>
        <w:t>INSTRUCTION: To vote for a different frequency, mark “AGAINST” and write “Every Two Years” or “Every Three Years”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215265</wp:posOffset>
            </wp:positionV>
            <wp:extent cx="2804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57" w:space="720"/>
            <w:col w:w="4983"/>
          </w:cols>
          <w:pgMar w:left="240" w:top="455" w:right="199"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136"/>
        </w:trPr>
        <w:tc>
          <w:tcPr>
            <w:tcW w:w="2380" w:type="dxa"/>
            <w:vAlign w:val="bottom"/>
          </w:tcPr>
          <w:p>
            <w:pPr>
              <w:jc w:val="center"/>
              <w:ind w:right="472"/>
              <w:spacing w:after="0" w:line="136" w:lineRule="exact"/>
              <w:rPr>
                <w:sz w:val="20"/>
                <w:szCs w:val="20"/>
                <w:color w:val="auto"/>
              </w:rPr>
            </w:pPr>
            <w:r>
              <w:rPr>
                <w:rFonts w:ascii="Times New Roman" w:cs="Times New Roman" w:eastAsia="Times New Roman" w:hAnsi="Times New Roman"/>
                <w:sz w:val="14"/>
                <w:szCs w:val="14"/>
                <w:color w:val="auto"/>
                <w:w w:val="95"/>
              </w:rPr>
              <w:t>Please be sure to sign and date</w:t>
            </w:r>
          </w:p>
        </w:tc>
        <w:tc>
          <w:tcPr>
            <w:tcW w:w="1860" w:type="dxa"/>
            <w:vAlign w:val="bottom"/>
            <w:tcBorders>
              <w:right w:val="single" w:sz="8" w:color="auto"/>
            </w:tcBorders>
          </w:tcPr>
          <w:p>
            <w:pPr>
              <w:spacing w:after="0"/>
              <w:rPr>
                <w:sz w:val="11"/>
                <w:szCs w:val="11"/>
                <w:color w:val="auto"/>
              </w:rPr>
            </w:pPr>
          </w:p>
        </w:tc>
        <w:tc>
          <w:tcPr>
            <w:tcW w:w="1520" w:type="dxa"/>
            <w:vAlign w:val="bottom"/>
            <w:tcBorders>
              <w:top w:val="single" w:sz="8" w:color="auto"/>
              <w:right w:val="single" w:sz="8" w:color="auto"/>
            </w:tcBorders>
          </w:tcPr>
          <w:p>
            <w:pPr>
              <w:ind w:left="120"/>
              <w:spacing w:after="0" w:line="136" w:lineRule="exact"/>
              <w:rPr>
                <w:sz w:val="20"/>
                <w:szCs w:val="20"/>
                <w:color w:val="auto"/>
              </w:rPr>
            </w:pPr>
            <w:r>
              <w:rPr>
                <w:rFonts w:ascii="Times New Roman" w:cs="Times New Roman" w:eastAsia="Times New Roman" w:hAnsi="Times New Roman"/>
                <w:sz w:val="14"/>
                <w:szCs w:val="14"/>
                <w:color w:val="auto"/>
              </w:rPr>
              <w:t>Date</w:t>
            </w:r>
          </w:p>
        </w:tc>
      </w:tr>
      <w:tr>
        <w:trPr>
          <w:trHeight w:val="175"/>
        </w:trPr>
        <w:tc>
          <w:tcPr>
            <w:tcW w:w="2380" w:type="dxa"/>
            <w:vAlign w:val="bottom"/>
            <w:tcBorders>
              <w:bottom w:val="single" w:sz="8" w:color="auto"/>
            </w:tcBorders>
          </w:tcPr>
          <w:p>
            <w:pPr>
              <w:jc w:val="center"/>
              <w:ind w:right="472"/>
              <w:spacing w:after="0"/>
              <w:rPr>
                <w:sz w:val="20"/>
                <w:szCs w:val="20"/>
                <w:color w:val="auto"/>
              </w:rPr>
            </w:pPr>
            <w:r>
              <w:rPr>
                <w:rFonts w:ascii="Times New Roman" w:cs="Times New Roman" w:eastAsia="Times New Roman" w:hAnsi="Times New Roman"/>
                <w:sz w:val="14"/>
                <w:szCs w:val="14"/>
                <w:color w:val="auto"/>
                <w:w w:val="96"/>
              </w:rPr>
              <w:t>this Proxy in the box below.</w:t>
            </w:r>
          </w:p>
        </w:tc>
        <w:tc>
          <w:tcPr>
            <w:tcW w:w="18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r>
      <w:tr>
        <w:trPr>
          <w:trHeight w:val="642"/>
        </w:trPr>
        <w:tc>
          <w:tcPr>
            <w:tcW w:w="2380" w:type="dxa"/>
            <w:vAlign w:val="bottom"/>
            <w:tcBorders>
              <w:left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Stockholder sign above</w:t>
            </w:r>
          </w:p>
        </w:tc>
        <w:tc>
          <w:tcPr>
            <w:tcW w:w="338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Co-holder (if any) sign above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523" w:right="100" w:hanging="523"/>
        <w:spacing w:after="0" w:line="241" w:lineRule="auto"/>
        <w:tabs>
          <w:tab w:leader="none" w:pos="65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their discretion, the proxies are authorized to vote upon such other business as may properly come before the Annual Meeting.</w:t>
      </w:r>
    </w:p>
    <w:p>
      <w:pPr>
        <w:spacing w:after="0" w:line="200" w:lineRule="exact"/>
        <w:rPr>
          <w:sz w:val="20"/>
          <w:szCs w:val="20"/>
          <w:color w:val="auto"/>
        </w:rPr>
      </w:pPr>
    </w:p>
    <w:p>
      <w:pPr>
        <w:spacing w:after="0" w:line="229" w:lineRule="exact"/>
        <w:rPr>
          <w:sz w:val="20"/>
          <w:szCs w:val="20"/>
          <w:color w:val="auto"/>
        </w:rPr>
      </w:pPr>
    </w:p>
    <w:p>
      <w:pPr>
        <w:ind w:left="523" w:right="100" w:firstLine="436"/>
        <w:spacing w:after="0" w:line="232" w:lineRule="auto"/>
        <w:rPr>
          <w:sz w:val="20"/>
          <w:szCs w:val="20"/>
          <w:color w:val="auto"/>
        </w:rPr>
      </w:pPr>
      <w:r>
        <w:rPr>
          <w:rFonts w:ascii="Times New Roman" w:cs="Times New Roman" w:eastAsia="Times New Roman" w:hAnsi="Times New Roman"/>
          <w:sz w:val="14"/>
          <w:szCs w:val="14"/>
          <w:b w:val="1"/>
          <w:bCs w:val="1"/>
          <w:color w:val="auto"/>
        </w:rPr>
        <w:t>The Board of Directors recommends that you vote FOR proposals 1, 2, 3 and 4. The shares represented by this proxy will be voted as specified herein. If not otherwise specified, such shares will be voted by the proxies FOR Proposals 1, 2, 3 and 4.</w:t>
      </w:r>
    </w:p>
    <w:p>
      <w:pPr>
        <w:spacing w:after="0" w:line="97" w:lineRule="exact"/>
        <w:rPr>
          <w:sz w:val="20"/>
          <w:szCs w:val="20"/>
          <w:color w:val="auto"/>
        </w:rPr>
      </w:pPr>
    </w:p>
    <w:p>
      <w:pPr>
        <w:sectPr>
          <w:pgSz w:w="11900" w:h="16838" w:orient="portrait"/>
          <w:cols w:equalWidth="0" w:num="2">
            <w:col w:w="5880" w:space="597"/>
            <w:col w:w="4983"/>
          </w:cols>
          <w:pgMar w:left="240" w:top="455" w:right="199" w:bottom="1440" w:gutter="0" w:footer="0" w:header="0"/>
          <w:type w:val="continuous"/>
        </w:sectPr>
      </w:pPr>
    </w:p>
    <w:tbl>
      <w:tblPr>
        <w:tblLayout w:type="fixed"/>
        <w:tblInd w:w="10" w:type="dxa"/>
        <w:tblCellMar>
          <w:top w:w="0" w:type="dxa"/>
          <w:left w:w="0" w:type="dxa"/>
          <w:bottom w:w="0" w:type="dxa"/>
          <w:right w:w="0" w:type="dxa"/>
        </w:tblCellMar>
      </w:tblPr>
      <w:tr>
        <w:trPr>
          <w:trHeight w:val="174"/>
        </w:trPr>
        <w:tc>
          <w:tcPr>
            <w:tcW w:w="10640" w:type="dxa"/>
            <w:vAlign w:val="bottom"/>
          </w:tcPr>
          <w:p>
            <w:pPr>
              <w:ind w:left="7440"/>
              <w:spacing w:after="0"/>
              <w:rPr>
                <w:sz w:val="20"/>
                <w:szCs w:val="20"/>
                <w:color w:val="auto"/>
              </w:rPr>
            </w:pPr>
            <w:r>
              <w:rPr>
                <w:rFonts w:ascii="Times New Roman" w:cs="Times New Roman" w:eastAsia="Times New Roman" w:hAnsi="Times New Roman"/>
                <w:sz w:val="14"/>
                <w:szCs w:val="14"/>
                <w:color w:val="auto"/>
              </w:rPr>
              <w:t>Please sign exactly as your name appears on this card.</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640" w:type="dxa"/>
            <w:vAlign w:val="bottom"/>
          </w:tcPr>
          <w:p>
            <w:pPr>
              <w:ind w:left="7000"/>
              <w:spacing w:after="0"/>
              <w:rPr>
                <w:sz w:val="20"/>
                <w:szCs w:val="20"/>
                <w:color w:val="auto"/>
              </w:rPr>
            </w:pPr>
            <w:r>
              <w:rPr>
                <w:rFonts w:ascii="Times New Roman" w:cs="Times New Roman" w:eastAsia="Times New Roman" w:hAnsi="Times New Roman"/>
                <w:sz w:val="14"/>
                <w:szCs w:val="14"/>
                <w:b w:val="1"/>
                <w:bCs w:val="1"/>
                <w:color w:val="auto"/>
              </w:rPr>
              <w:t>PLEASE CHECK BOX IF YOU PLAN TO ATTEND THE</w:t>
            </w:r>
          </w:p>
        </w:tc>
        <w:tc>
          <w:tcPr>
            <w:tcW w:w="4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è</w:t>
            </w:r>
          </w:p>
        </w:tc>
        <w:tc>
          <w:tcPr>
            <w:tcW w:w="3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3"/>
        </w:trPr>
        <w:tc>
          <w:tcPr>
            <w:tcW w:w="10640" w:type="dxa"/>
            <w:vAlign w:val="bottom"/>
          </w:tcPr>
          <w:p>
            <w:pPr>
              <w:ind w:left="7000"/>
              <w:spacing w:after="0"/>
              <w:rPr>
                <w:sz w:val="20"/>
                <w:szCs w:val="20"/>
                <w:color w:val="auto"/>
              </w:rPr>
            </w:pPr>
            <w:r>
              <w:rPr>
                <w:rFonts w:ascii="Times New Roman" w:cs="Times New Roman" w:eastAsia="Times New Roman" w:hAnsi="Times New Roman"/>
                <w:sz w:val="14"/>
                <w:szCs w:val="14"/>
                <w:b w:val="1"/>
                <w:bCs w:val="1"/>
                <w:color w:val="auto"/>
              </w:rPr>
              <w:t>MEETING.</w:t>
            </w:r>
          </w:p>
        </w:tc>
        <w:tc>
          <w:tcPr>
            <w:tcW w:w="4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10640" w:type="dxa"/>
            <w:vAlign w:val="bottom"/>
          </w:tcPr>
          <w:p>
            <w:pPr>
              <w:jc w:val="center"/>
              <w:ind w:left="712"/>
              <w:spacing w:after="0"/>
              <w:rPr>
                <w:sz w:val="20"/>
                <w:szCs w:val="20"/>
                <w:color w:val="auto"/>
              </w:rPr>
            </w:pPr>
            <w:r>
              <w:rPr>
                <w:rFonts w:ascii="Times New Roman" w:cs="Times New Roman" w:eastAsia="Times New Roman" w:hAnsi="Times New Roman"/>
                <w:sz w:val="14"/>
                <w:szCs w:val="14"/>
                <w:color w:val="auto"/>
                <w:w w:val="96"/>
              </w:rPr>
              <w:t>ñ</w:t>
            </w:r>
            <w:r>
              <w:rPr>
                <w:rFonts w:ascii="Times New Roman" w:cs="Times New Roman" w:eastAsia="Times New Roman" w:hAnsi="Times New Roman"/>
                <w:sz w:val="14"/>
                <w:szCs w:val="14"/>
                <w:b w:val="1"/>
                <w:bCs w:val="1"/>
                <w:color w:val="auto"/>
                <w:w w:val="96"/>
              </w:rPr>
              <w:t>Detach above card, sign, date and mail in postage paid envelope provided.</w:t>
            </w:r>
            <w:r>
              <w:rPr>
                <w:rFonts w:ascii="Times New Roman" w:cs="Times New Roman" w:eastAsia="Times New Roman" w:hAnsi="Times New Roman"/>
                <w:sz w:val="14"/>
                <w:szCs w:val="14"/>
                <w:color w:val="auto"/>
                <w:w w:val="96"/>
              </w:rPr>
              <w:t>ñ</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40" w:type="dxa"/>
            <w:vAlign w:val="bottom"/>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w w:val="96"/>
              </w:rPr>
              <w:t>EXLSERVICE HOLDINGS, INC.</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06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0640" w:type="dxa"/>
            <w:vAlign w:val="bottom"/>
            <w:tcBorders>
              <w:left w:val="single" w:sz="8" w:color="auto"/>
            </w:tcBorders>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w w:val="94"/>
              </w:rPr>
              <w:t>Your Vote Is Important.</w:t>
            </w:r>
          </w:p>
        </w:tc>
        <w:tc>
          <w:tcPr>
            <w:tcW w:w="46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0640" w:type="dxa"/>
            <w:vAlign w:val="bottom"/>
            <w:tcBorders>
              <w:left w:val="single" w:sz="8" w:color="auto"/>
            </w:tcBorders>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w w:val="96"/>
              </w:rPr>
              <w:t>Please complete, sign, date and promptly return this proxy using the enclosed postmarked envelope.</w:t>
            </w:r>
          </w:p>
        </w:tc>
        <w:tc>
          <w:tcPr>
            <w:tcW w:w="4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0640" w:type="dxa"/>
            <w:vAlign w:val="bottom"/>
            <w:tcBorders>
              <w:left w:val="single" w:sz="8" w:color="auto"/>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740"/>
        <w:spacing w:after="0" w:line="241" w:lineRule="auto"/>
        <w:rPr>
          <w:sz w:val="20"/>
          <w:szCs w:val="20"/>
          <w:color w:val="auto"/>
        </w:rPr>
      </w:pPr>
      <w:r>
        <w:rPr>
          <w:rFonts w:ascii="Times New Roman" w:cs="Times New Roman" w:eastAsia="Times New Roman" w:hAnsi="Times New Roman"/>
          <w:sz w:val="14"/>
          <w:szCs w:val="14"/>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60"/>
      </w:cols>
      <w:pgMar w:left="240" w:top="455"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2)"/>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12"/>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8"/>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2"/>
    </w:lvl>
  </w:abstractNum>
  <w:abstractNum w:abstractNumId="27">
    <w:nsid w:val="6A2342EC"/>
    <w:multiLevelType w:val="hybridMultilevel"/>
    <w:lvl w:ilvl="0">
      <w:lvlJc w:val="left"/>
      <w:lvlText w:val="(%1)"/>
      <w:numFmt w:val="decimal"/>
      <w:start w:val="3"/>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3"/>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lvl w:ilvl="1">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37"/>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3"/>
    </w:lvl>
  </w:abstractNum>
  <w:abstractNum w:abstractNumId="45">
    <w:nsid w:val="79A1DEAA"/>
    <w:multiLevelType w:val="hybridMultilevel"/>
    <w:lvl w:ilvl="0">
      <w:lvlJc w:val="left"/>
      <w:lvlText w:val="(%1)"/>
      <w:numFmt w:val="lowerRoman"/>
      <w:start w:val="3"/>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2"/>
    </w:lvl>
  </w:abstractNum>
  <w:abstractNum w:abstractNumId="52">
    <w:nsid w:val="23F9C13C"/>
    <w:multiLevelType w:val="hybridMultilevel"/>
    <w:lvl w:ilvl="0">
      <w:lvlJc w:val="left"/>
      <w:lvlText w:val="(%1)"/>
      <w:numFmt w:val="decimal"/>
      <w:start w:val="16"/>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3"/>
    </w:lvl>
  </w:abstractNum>
  <w:abstractNum w:abstractNumId="56">
    <w:nsid w:val="1CF10FD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2019-12-15T10:33:43Z</dcterms:created>
  <dcterms:modified xsi:type="dcterms:W3CDTF">2019-12-15T10:33:43Z</dcterms:modified>
</cp:coreProperties>
</file>