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95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429" w:lineRule="exact"/>
        <w:rPr>
          <w:sz w:val="24"/>
          <w:szCs w:val="24"/>
          <w:color w:val="auto"/>
        </w:rPr>
      </w:pPr>
    </w:p>
    <w:p>
      <w:pPr>
        <w:sectPr>
          <w:pgSz w:w="11900" w:h="1695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70"/>
              <w:spacing w:after="0"/>
              <w:rPr>
                <w:sz w:val="20"/>
                <w:szCs w:val="20"/>
                <w:color w:val="auto"/>
              </w:rPr>
            </w:pPr>
            <w:r>
              <w:rPr>
                <w:rFonts w:ascii="Arial" w:cs="Arial" w:eastAsia="Arial" w:hAnsi="Arial"/>
                <w:sz w:val="18"/>
                <w:szCs w:val="18"/>
                <w:color w:val="0000FF"/>
                <w:w w:val="86"/>
              </w:rPr>
              <w:t>973</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19,281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377</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18,904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1,600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20,504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619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19,885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111"/>
              <w:spacing w:after="0"/>
              <w:rPr>
                <w:sz w:val="20"/>
                <w:szCs w:val="20"/>
                <w:color w:val="auto"/>
              </w:rPr>
            </w:pPr>
            <w:r>
              <w:rPr>
                <w:rFonts w:ascii="Arial" w:cs="Arial" w:eastAsia="Arial" w:hAnsi="Arial"/>
                <w:sz w:val="18"/>
                <w:szCs w:val="18"/>
                <w:color w:val="0000FF"/>
              </w:rPr>
              <w:t>973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02/03/2012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973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4,397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31"/>
              <w:spacing w:after="0"/>
              <w:rPr>
                <w:sz w:val="20"/>
                <w:szCs w:val="20"/>
                <w:color w:val="auto"/>
              </w:rPr>
            </w:pPr>
            <w:r>
              <w:rPr>
                <w:rFonts w:ascii="Arial" w:cs="Arial" w:eastAsia="Arial" w:hAnsi="Arial"/>
                <w:sz w:val="18"/>
                <w:szCs w:val="18"/>
                <w:color w:val="0000FF"/>
              </w:rPr>
              <w:t>1,600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02/04/2012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1,600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5,600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973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2012, ExlService Holdings, Inc. (the "Company") issued 1,600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973 shares of restricted stock vested on February 3, 2012; an additional 1,323 shares of restricted stock will vest on February 3, 2013; another 1,674 shares of restricted stock will vest on February 4, 2014; and the remaining 1,400 shares of restricted stock will vest on February 3, 2015.</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1,600 shares of restricted stock vested on February 4, 2012; an additional 2,400 shares of restricted stock will vest on February 4, 2013; and the remaining 3,200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2019-12-16T14:16:19Z</dcterms:created>
  <dcterms:modified xsi:type="dcterms:W3CDTF">2019-12-16T14:16:19Z</dcterms:modified>
</cp:coreProperties>
</file>