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Karnik Kiran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bl>
    <w:p>
      <w:pPr>
        <w:spacing w:after="0" w:line="3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660" w:type="dxa"/>
            <w:vAlign w:val="bottom"/>
            <w:vMerge w:val="restart"/>
          </w:tcPr>
          <w:p>
            <w:pPr>
              <w:spacing w:after="0"/>
              <w:rPr>
                <w:sz w:val="20"/>
                <w:szCs w:val="20"/>
                <w:color w:val="auto"/>
              </w:rPr>
            </w:pPr>
            <w:r>
              <w:rPr>
                <w:rFonts w:ascii="Arial" w:cs="Arial" w:eastAsia="Arial" w:hAnsi="Arial"/>
                <w:sz w:val="14"/>
                <w:szCs w:val="14"/>
                <w:color w:val="0000FF"/>
              </w:rPr>
              <w:t>Stock</w:t>
            </w: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7"/>
              </w:rPr>
              <w:t>Common</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restart"/>
          </w:tcPr>
          <w:p>
            <w:pPr>
              <w:jc w:val="center"/>
              <w:ind w:left="32"/>
              <w:spacing w:after="0" w:line="149" w:lineRule="exact"/>
              <w:rPr>
                <w:sz w:val="20"/>
                <w:szCs w:val="20"/>
                <w:color w:val="auto"/>
              </w:rPr>
            </w:pPr>
            <w:r>
              <w:rPr>
                <w:rFonts w:ascii="Arial" w:cs="Arial" w:eastAsia="Arial" w:hAnsi="Arial"/>
                <w:sz w:val="14"/>
                <w:szCs w:val="14"/>
                <w:color w:val="0000FF"/>
                <w:w w:val="87"/>
              </w:rPr>
              <w:t>stock,</w:t>
            </w: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660" w:type="dxa"/>
            <w:vAlign w:val="bottom"/>
            <w:vMerge w:val="restart"/>
          </w:tcPr>
          <w:p>
            <w:pPr>
              <w:spacing w:after="0" w:line="149" w:lineRule="exact"/>
              <w:rPr>
                <w:sz w:val="20"/>
                <w:szCs w:val="20"/>
                <w:color w:val="auto"/>
              </w:rPr>
            </w:pPr>
            <w:r>
              <w:rPr>
                <w:rFonts w:ascii="Arial" w:cs="Arial" w:eastAsia="Arial" w:hAnsi="Arial"/>
                <w:sz w:val="14"/>
                <w:szCs w:val="14"/>
                <w:color w:val="0000FF"/>
              </w:rPr>
              <w:t>Options</w:t>
            </w:r>
          </w:p>
        </w:tc>
        <w:tc>
          <w:tcPr>
            <w:tcW w:w="8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vMerge w:val="restart"/>
          </w:tcPr>
          <w:p>
            <w:pPr>
              <w:jc w:val="right"/>
              <w:ind w:right="264"/>
              <w:spacing w:after="0"/>
              <w:rPr>
                <w:sz w:val="20"/>
                <w:szCs w:val="20"/>
                <w:color w:val="auto"/>
              </w:rPr>
            </w:pPr>
            <w:r>
              <w:rPr>
                <w:rFonts w:ascii="Arial" w:cs="Arial" w:eastAsia="Arial" w:hAnsi="Arial"/>
                <w:sz w:val="11"/>
                <w:szCs w:val="11"/>
                <w:color w:val="008000"/>
              </w:rPr>
              <w:t>(2)</w:t>
            </w:r>
          </w:p>
        </w:tc>
        <w:tc>
          <w:tcPr>
            <w:tcW w:w="640" w:type="dxa"/>
            <w:vAlign w:val="bottom"/>
            <w:vMerge w:val="restart"/>
          </w:tcPr>
          <w:p>
            <w:pPr>
              <w:jc w:val="right"/>
              <w:ind w:right="124"/>
              <w:spacing w:after="0"/>
              <w:rPr>
                <w:sz w:val="20"/>
                <w:szCs w:val="20"/>
                <w:color w:val="auto"/>
              </w:rPr>
            </w:pPr>
            <w:r>
              <w:rPr>
                <w:rFonts w:ascii="Arial" w:cs="Arial" w:eastAsia="Arial" w:hAnsi="Arial"/>
                <w:sz w:val="11"/>
                <w:szCs w:val="11"/>
                <w:color w:val="008000"/>
              </w:rPr>
              <w:t>(3)</w:t>
            </w:r>
          </w:p>
        </w:tc>
        <w:tc>
          <w:tcPr>
            <w:tcW w:w="780" w:type="dxa"/>
            <w:vAlign w:val="bottom"/>
            <w:vMerge w:val="continue"/>
          </w:tcPr>
          <w:p>
            <w:pPr>
              <w:spacing w:after="0"/>
              <w:rPr>
                <w:sz w:val="8"/>
                <w:szCs w:val="8"/>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8"/>
                <w:szCs w:val="18"/>
                <w:color w:val="0000FF"/>
              </w:rPr>
              <w:t>6,213</w:t>
            </w:r>
          </w:p>
        </w:tc>
        <w:tc>
          <w:tcPr>
            <w:tcW w:w="640" w:type="dxa"/>
            <w:vAlign w:val="bottom"/>
            <w:vMerge w:val="restart"/>
          </w:tcPr>
          <w:p>
            <w:pPr>
              <w:jc w:val="right"/>
              <w:ind w:right="244"/>
              <w:spacing w:after="0"/>
              <w:rPr>
                <w:sz w:val="20"/>
                <w:szCs w:val="20"/>
                <w:color w:val="auto"/>
              </w:rPr>
            </w:pPr>
            <w:r>
              <w:rPr>
                <w:rFonts w:ascii="Arial" w:cs="Arial" w:eastAsia="Arial" w:hAnsi="Arial"/>
                <w:sz w:val="11"/>
                <w:szCs w:val="11"/>
                <w:color w:val="008000"/>
              </w:rPr>
              <w:t>(4)</w:t>
            </w:r>
          </w:p>
        </w:tc>
        <w:tc>
          <w:tcPr>
            <w:tcW w:w="96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660" w:type="dxa"/>
            <w:vAlign w:val="bottom"/>
            <w:vMerge w:val="continue"/>
          </w:tcPr>
          <w:p>
            <w:pPr>
              <w:spacing w:after="0"/>
              <w:rPr>
                <w:sz w:val="4"/>
                <w:szCs w:val="4"/>
                <w:color w:val="auto"/>
              </w:rPr>
            </w:pPr>
          </w:p>
        </w:tc>
        <w:tc>
          <w:tcPr>
            <w:tcW w:w="860" w:type="dxa"/>
            <w:vAlign w:val="bottom"/>
            <w:vMerge w:val="restart"/>
          </w:tcPr>
          <w:p>
            <w:pPr>
              <w:jc w:val="right"/>
              <w:ind w:right="1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22.265</w:t>
            </w:r>
          </w:p>
        </w:tc>
        <w:tc>
          <w:tcPr>
            <w:tcW w:w="1620" w:type="dxa"/>
            <w:vAlign w:val="bottom"/>
            <w:vMerge w:val="restart"/>
          </w:tcPr>
          <w:p>
            <w:pPr>
              <w:jc w:val="right"/>
              <w:ind w:right="712"/>
              <w:spacing w:after="0"/>
              <w:rPr>
                <w:sz w:val="20"/>
                <w:szCs w:val="20"/>
                <w:color w:val="auto"/>
              </w:rPr>
            </w:pPr>
            <w:r>
              <w:rPr>
                <w:rFonts w:ascii="Arial" w:cs="Arial" w:eastAsia="Arial" w:hAnsi="Arial"/>
                <w:sz w:val="14"/>
                <w:szCs w:val="14"/>
                <w:color w:val="0000FF"/>
              </w:rPr>
              <w:t>01/03/2012</w:t>
            </w:r>
          </w:p>
        </w:tc>
        <w:tc>
          <w:tcPr>
            <w:tcW w:w="1200" w:type="dxa"/>
            <w:vAlign w:val="bottom"/>
            <w:vMerge w:val="restart"/>
          </w:tcPr>
          <w:p>
            <w:pPr>
              <w:ind w:left="780"/>
              <w:spacing w:after="0"/>
              <w:rPr>
                <w:sz w:val="20"/>
                <w:szCs w:val="20"/>
                <w:color w:val="auto"/>
              </w:rPr>
            </w:pPr>
            <w:r>
              <w:rPr>
                <w:rFonts w:ascii="Arial" w:cs="Arial" w:eastAsia="Arial" w:hAnsi="Arial"/>
                <w:sz w:val="14"/>
                <w:szCs w:val="14"/>
                <w:color w:val="0000FF"/>
              </w:rPr>
              <w:t>A</w:t>
            </w:r>
          </w:p>
        </w:tc>
        <w:tc>
          <w:tcPr>
            <w:tcW w:w="1000" w:type="dxa"/>
            <w:vAlign w:val="bottom"/>
            <w:vMerge w:val="restart"/>
          </w:tcPr>
          <w:p>
            <w:pPr>
              <w:jc w:val="right"/>
              <w:ind w:right="292"/>
              <w:spacing w:after="0"/>
              <w:rPr>
                <w:sz w:val="20"/>
                <w:szCs w:val="20"/>
                <w:color w:val="auto"/>
              </w:rPr>
            </w:pPr>
            <w:r>
              <w:rPr>
                <w:rFonts w:ascii="Arial" w:cs="Arial" w:eastAsia="Arial" w:hAnsi="Arial"/>
                <w:sz w:val="14"/>
                <w:szCs w:val="14"/>
                <w:color w:val="0000FF"/>
              </w:rPr>
              <w:t>6,213</w:t>
            </w:r>
          </w:p>
        </w:tc>
        <w:tc>
          <w:tcPr>
            <w:tcW w:w="82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80" w:type="dxa"/>
            <w:vAlign w:val="bottom"/>
            <w:vMerge w:val="restart"/>
          </w:tcPr>
          <w:p>
            <w:pPr>
              <w:jc w:val="center"/>
              <w:ind w:left="52"/>
              <w:spacing w:after="0"/>
              <w:rPr>
                <w:sz w:val="20"/>
                <w:szCs w:val="20"/>
                <w:color w:val="auto"/>
              </w:rPr>
            </w:pPr>
            <w:r>
              <w:rPr>
                <w:rFonts w:ascii="Arial" w:cs="Arial" w:eastAsia="Arial" w:hAnsi="Arial"/>
                <w:sz w:val="14"/>
                <w:szCs w:val="14"/>
                <w:color w:val="0000FF"/>
                <w:w w:val="86"/>
              </w:rPr>
              <w:t>par value</w:t>
            </w:r>
          </w:p>
        </w:tc>
        <w:tc>
          <w:tcPr>
            <w:tcW w:w="70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960" w:type="dxa"/>
            <w:vAlign w:val="bottom"/>
            <w:vMerge w:val="restart"/>
          </w:tcPr>
          <w:p>
            <w:pPr>
              <w:jc w:val="right"/>
              <w:ind w:right="272"/>
              <w:spacing w:after="0"/>
              <w:rPr>
                <w:sz w:val="20"/>
                <w:szCs w:val="20"/>
                <w:color w:val="auto"/>
              </w:rPr>
            </w:pPr>
            <w:r>
              <w:rPr>
                <w:rFonts w:ascii="Arial" w:cs="Arial" w:eastAsia="Arial" w:hAnsi="Arial"/>
                <w:sz w:val="14"/>
                <w:szCs w:val="14"/>
                <w:color w:val="0000FF"/>
              </w:rPr>
              <w:t>6,213</w:t>
            </w:r>
          </w:p>
        </w:tc>
        <w:tc>
          <w:tcPr>
            <w:tcW w:w="440" w:type="dxa"/>
            <w:vAlign w:val="bottom"/>
            <w:vMerge w:val="restart"/>
          </w:tcPr>
          <w:p>
            <w:pPr>
              <w:ind w:left="340"/>
              <w:spacing w:after="0"/>
              <w:rPr>
                <w:sz w:val="20"/>
                <w:szCs w:val="20"/>
                <w:color w:val="auto"/>
              </w:rPr>
            </w:pPr>
            <w:r>
              <w:rPr>
                <w:rFonts w:ascii="Arial" w:cs="Arial" w:eastAsia="Arial" w:hAnsi="Arial"/>
                <w:sz w:val="14"/>
                <w:szCs w:val="14"/>
                <w:color w:val="0000FF"/>
                <w:w w:val="78"/>
              </w:rPr>
              <w:t>D</w:t>
            </w:r>
          </w:p>
        </w:tc>
        <w:tc>
          <w:tcPr>
            <w:tcW w:w="0" w:type="dxa"/>
            <w:vAlign w:val="bottom"/>
          </w:tcPr>
          <w:p>
            <w:pPr>
              <w:spacing w:after="0"/>
              <w:rPr>
                <w:sz w:val="1"/>
                <w:szCs w:val="1"/>
                <w:color w:val="auto"/>
              </w:rPr>
            </w:pPr>
          </w:p>
        </w:tc>
      </w:tr>
      <w:tr>
        <w:trPr>
          <w:trHeight w:val="83"/>
        </w:trPr>
        <w:tc>
          <w:tcPr>
            <w:tcW w:w="660" w:type="dxa"/>
            <w:vAlign w:val="bottom"/>
            <w:vMerge w:val="restart"/>
          </w:tcPr>
          <w:p>
            <w:pPr>
              <w:spacing w:after="0" w:line="133" w:lineRule="exact"/>
              <w:rPr>
                <w:sz w:val="20"/>
                <w:szCs w:val="20"/>
                <w:color w:val="auto"/>
              </w:rPr>
            </w:pPr>
            <w:r>
              <w:rPr>
                <w:rFonts w:ascii="Arial" w:cs="Arial" w:eastAsia="Arial" w:hAnsi="Arial"/>
                <w:sz w:val="14"/>
                <w:szCs w:val="14"/>
                <w:color w:val="0000FF"/>
              </w:rPr>
              <w:t>(right to</w:t>
            </w:r>
          </w:p>
        </w:tc>
        <w:tc>
          <w:tcPr>
            <w:tcW w:w="8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9"/>
        </w:trPr>
        <w:tc>
          <w:tcPr>
            <w:tcW w:w="66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1200" w:type="dxa"/>
            <w:vAlign w:val="bottom"/>
            <w:vMerge w:val="continue"/>
          </w:tcPr>
          <w:p>
            <w:pPr>
              <w:spacing w:after="0"/>
              <w:rPr>
                <w:sz w:val="4"/>
                <w:szCs w:val="4"/>
                <w:color w:val="auto"/>
              </w:rPr>
            </w:pPr>
          </w:p>
        </w:tc>
        <w:tc>
          <w:tcPr>
            <w:tcW w:w="1000" w:type="dxa"/>
            <w:vAlign w:val="bottom"/>
            <w:vMerge w:val="continue"/>
          </w:tcPr>
          <w:p>
            <w:pPr>
              <w:spacing w:after="0"/>
              <w:rPr>
                <w:sz w:val="4"/>
                <w:szCs w:val="4"/>
                <w:color w:val="auto"/>
              </w:rPr>
            </w:pPr>
          </w:p>
        </w:tc>
        <w:tc>
          <w:tcPr>
            <w:tcW w:w="820" w:type="dxa"/>
            <w:vAlign w:val="bottom"/>
          </w:tcPr>
          <w:p>
            <w:pPr>
              <w:spacing w:after="0"/>
              <w:rPr>
                <w:sz w:val="4"/>
                <w:szCs w:val="4"/>
                <w:color w:val="auto"/>
              </w:rPr>
            </w:pPr>
          </w:p>
        </w:tc>
        <w:tc>
          <w:tcPr>
            <w:tcW w:w="64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Arial" w:cs="Arial" w:eastAsia="Arial" w:hAnsi="Arial"/>
                <w:sz w:val="13"/>
                <w:szCs w:val="13"/>
                <w:color w:val="0000FF"/>
              </w:rPr>
              <w:t>buy)</w:t>
            </w:r>
            <w:r>
              <w:rPr>
                <w:rFonts w:ascii="Arial" w:cs="Arial" w:eastAsia="Arial" w:hAnsi="Arial"/>
                <w:sz w:val="20"/>
                <w:szCs w:val="20"/>
                <w:color w:val="008000"/>
                <w:vertAlign w:val="superscript"/>
              </w:rPr>
              <w:t>(1)</w:t>
            </w:r>
          </w:p>
        </w:tc>
        <w:tc>
          <w:tcPr>
            <w:tcW w:w="8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8"/>
              </w:rPr>
              <w:t>$0.001</w:t>
            </w: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jc w:val="center"/>
              <w:ind w:left="52"/>
              <w:spacing w:after="0"/>
              <w:rPr>
                <w:sz w:val="20"/>
                <w:szCs w:val="20"/>
                <w:color w:val="auto"/>
              </w:rPr>
            </w:pPr>
            <w:r>
              <w:rPr>
                <w:rFonts w:ascii="Arial" w:cs="Arial" w:eastAsia="Arial" w:hAnsi="Arial"/>
                <w:sz w:val="14"/>
                <w:szCs w:val="14"/>
                <w:color w:val="0000FF"/>
                <w:w w:val="84"/>
              </w:rPr>
              <w:t>per share</w:t>
            </w: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January 3, 2012, ExlService Holdings, Inc. (the "Company") issued options (the "Options") to purchase shares of its common stock, par value $0.001 per share (the "Option Shares"), to certain of its directors in accordance with the Company's compensation program for non-employee directors.</w:t>
      </w:r>
    </w:p>
    <w:p>
      <w:pPr>
        <w:spacing w:after="0" w:line="30" w:lineRule="exact"/>
        <w:rPr>
          <w:rFonts w:ascii="Arial" w:cs="Arial" w:eastAsia="Arial" w:hAnsi="Arial"/>
          <w:sz w:val="14"/>
          <w:szCs w:val="14"/>
          <w:color w:val="008000"/>
        </w:rPr>
      </w:pPr>
    </w:p>
    <w:p>
      <w:pPr>
        <w:ind w:left="40" w:right="160" w:firstLine="9"/>
        <w:spacing w:after="0" w:line="230"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were granted pursuant to the terms and conditions of the Company's 2006 Omnibus Award Plan and the Company's compensation program for non-employee directors. Subject to the following sentence, and subject to the reporting person's continued service with the Company, the Options shall become vested and exercisable as to 100% of the Option Shares subject thereto on December 31 of the year of grant. In the event of death or disability of the reporting person after the date of grant but prior to the vesting date specified in the preceding sentence, then the Options shall vest pro rata up to the date of such event.</w:t>
      </w:r>
    </w:p>
    <w:p>
      <w:pPr>
        <w:spacing w:after="0" w:line="3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Options shall expire at the end of the period commencing on the date of grant and ending at 11:59 p.m. Eastern Time on the day preceding the tenth anniversary of the date of grant. In the event of death or disability of the reporting person, any portion of the Options that does not vest as set forth in footnote (2) above shall immediately expire.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01/05/2012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3906"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2019-12-16T15:05:08Z</dcterms:created>
  <dcterms:modified xsi:type="dcterms:W3CDTF">2019-12-16T15:05:08Z</dcterms:modified>
</cp:coreProperties>
</file>