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20548</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 INFORMATION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ectPr>
          <w:pgSz w:w="11900" w:h="16838" w:orient="portrait"/>
          <w:cols w:equalWidth="0" w:num="1">
            <w:col w:w="11320"/>
          </w:cols>
          <w:pgMar w:left="240" w:top="230" w:right="339" w:bottom="1440" w:gutter="0" w:footer="0" w:header="0"/>
        </w:sectPr>
      </w:pPr>
    </w:p>
    <w:p>
      <w:pPr>
        <w:spacing w:after="0" w:line="9" w:lineRule="exact"/>
        <w:rPr>
          <w:sz w:val="24"/>
          <w:szCs w:val="24"/>
          <w:color w:val="auto"/>
        </w:rPr>
      </w:pPr>
    </w:p>
    <w:p>
      <w:pPr>
        <w:ind w:left="4780"/>
        <w:spacing w:after="0"/>
        <w:rPr>
          <w:sz w:val="20"/>
          <w:szCs w:val="20"/>
          <w:color w:val="auto"/>
        </w:rPr>
      </w:pPr>
      <w:r>
        <w:rPr>
          <w:rFonts w:ascii="Arial" w:cs="Arial" w:eastAsia="Arial" w:hAnsi="Arial"/>
          <w:sz w:val="19"/>
          <w:szCs w:val="19"/>
          <w:b w:val="1"/>
          <w:bCs w:val="1"/>
          <w:color w:val="auto"/>
        </w:rPr>
        <w:t>(Amendment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113" w:lineRule="exact"/>
        <w:rPr>
          <w:sz w:val="24"/>
          <w:szCs w:val="24"/>
          <w:color w:val="auto"/>
        </w:rPr>
      </w:pPr>
    </w:p>
    <w:p>
      <w:pPr>
        <w:sectPr>
          <w:pgSz w:w="11900" w:h="16838" w:orient="portrait"/>
          <w:cols w:equalWidth="0" w:num="2">
            <w:col w:w="6360" w:space="220"/>
            <w:col w:w="4740"/>
          </w:cols>
          <w:pgMar w:left="240" w:top="230"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529" w:lineRule="exact"/>
        <w:rPr>
          <w:sz w:val="24"/>
          <w:szCs w:val="24"/>
          <w:color w:val="auto"/>
        </w:rPr>
      </w:pPr>
    </w:p>
    <w:p>
      <w:pPr>
        <w:sectPr>
          <w:pgSz w:w="11900" w:h="16838" w:orient="portrait"/>
          <w:cols w:equalWidth="0" w:num="2">
            <w:col w:w="2380" w:space="720"/>
            <w:col w:w="8220"/>
          </w:cols>
          <w:pgMar w:left="240" w:top="230" w:right="339" w:bottom="1440" w:gutter="0" w:footer="0" w:header="0"/>
          <w:type w:val="continuous"/>
        </w:sectPr>
      </w:pPr>
    </w:p>
    <w:p>
      <w:pPr>
        <w:spacing w:after="0" w:line="4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3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N/A</w:t>
      </w:r>
    </w:p>
    <w:p>
      <w:pPr>
        <w:spacing w:after="0" w:line="5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-3607435</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-3204210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-2269490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-1866265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-554355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2010 Annual Meeting of Stockholders, which will be held on June 24, 2010, in White Plains, New York.</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Annual Meeting will begin with a report on our operations, followed by discussion and voting on the matters set forth in the accompanying notice of Annual Meeting and proxy statement and discussion on other business matters properly brought before the Annual Meeting.</w:t>
      </w:r>
    </w:p>
    <w:p>
      <w:pPr>
        <w:spacing w:after="0" w:line="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postage prepaid envelope. Your shares cannot be voted unless you submit your proxy or attend the Annual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Vikram Talwar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Chairman</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280 Park Avenue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2010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are cordially invited to the 2010 Annual Meeting of Stockholders of ExlService Holdings, Inc., a Delaware corporation (the “Company”). The Annual Meeting will be held at The Ritz-Carlton, Westchester, Three Renaissance Square, White Plains, New York 10601, on June 24, 2010, at 10:00 AM, Eastern Time, for the purposes of voting on the following matters:</w:t>
      </w:r>
    </w:p>
    <w:p>
      <w:pPr>
        <w:spacing w:after="0" w:line="5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three Class I members of the board of directors of the Company for a term of three years each;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the independent registered public accounting firm of the Company for fiscal year 2010;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Annual Meeting or any adjournment or postponement thereof.</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you are a stockholder of record at the close of business on May 11, 2010, you are entitled to vote at the Annual Meeting. A list of stockholders as of the record date will be available for examination for any purpose germane to the Annual Meeting, during ordinary business hours, at the Company’s executive offices at 280 Park Avenue, New York, New York 10017, for a period of 10 days prior to the date of the Annual Meeting and at the Annual Meeting itself.</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Whether or not you expect to attend the Annual Meeting in person, the Company encourages you to promptly vote and submit your proxy by completing, signing, dating and returning the enclosed proxy card in the postage prepaid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Amit Shashank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2010</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Annual Report on Form 10-K for fiscal year 2009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780" w:type="dxa"/>
            <w:vAlign w:val="bottom"/>
            <w:tcBorders>
              <w:top w:val="single" w:sz="8" w:color="0000EE"/>
            </w:tcBorders>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OUR BOARD OF DIRECTORS</w:t>
              </w:r>
            </w:hyperlink>
          </w:p>
        </w:tc>
        <w:tc>
          <w:tcPr>
            <w:tcW w:w="63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CORPORATE GOVERNANCE</w:t>
              </w:r>
            </w:hyperlink>
          </w:p>
        </w:tc>
        <w:tc>
          <w:tcPr>
            <w:tcW w:w="20" w:type="dxa"/>
            <w:vAlign w:val="bottom"/>
            <w:tcBorders>
              <w:top w:val="single" w:sz="8" w:color="0000EE"/>
            </w:tcBorders>
          </w:tcPr>
          <w:p>
            <w:pPr>
              <w:spacing w:after="0"/>
              <w:rPr>
                <w:sz w:val="24"/>
                <w:szCs w:val="24"/>
                <w:color w:val="auto"/>
              </w:rPr>
            </w:pPr>
          </w:p>
        </w:tc>
        <w:tc>
          <w:tcPr>
            <w:tcW w:w="88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OUR EXECUTIVE OFFICERS</w:t>
              </w:r>
            </w:hyperlink>
          </w:p>
        </w:tc>
        <w:tc>
          <w:tcPr>
            <w:tcW w:w="8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EXECUTIVE COMPENSATION</w:t>
              </w:r>
            </w:hyperlink>
          </w:p>
        </w:tc>
        <w:tc>
          <w:tcPr>
            <w:tcW w:w="87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CERTAIN RELATIONSHIPS AND RELATED PERSON TRANSACTIONS</w:t>
              </w:r>
            </w:hyperlink>
          </w:p>
        </w:tc>
        <w:tc>
          <w:tcPr>
            <w:tcW w:w="5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PROPOSAL 1 ELECTION OF DIRECTORS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92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PROPOSAL 2 RATIFICATION OF THE APPOINTMENT OF INDEPENDENT REGISTERED PUBLIC ACCOUNTING FIRM</w:t>
              </w:r>
            </w:hyperlink>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STOCKHOLDER PROPOSALS FOR THE 2011 ANNUAL MEETING</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MISCELLANEOUS</w:t>
              </w:r>
            </w:hyperlink>
          </w:p>
        </w:tc>
        <w:tc>
          <w:tcPr>
            <w:tcW w:w="3620" w:type="dxa"/>
            <w:vAlign w:val="bottom"/>
            <w:tcBorders>
              <w:top w:val="single" w:sz="8" w:color="0000EE"/>
            </w:tcBorders>
            <w:gridSpan w:val="8"/>
          </w:tcPr>
          <w:p>
            <w:pPr>
              <w:spacing w:after="0"/>
              <w:rPr>
                <w:sz w:val="24"/>
                <w:szCs w:val="24"/>
                <w:color w:val="auto"/>
              </w:rPr>
            </w:pPr>
          </w:p>
        </w:tc>
        <w:tc>
          <w:tcPr>
            <w:tcW w:w="60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1140" w:type="dxa"/>
            <w:vAlign w:val="bottom"/>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3"/>
        </w:trPr>
        <w:tc>
          <w:tcPr>
            <w:tcW w:w="1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60" w:type="dxa"/>
            <w:vAlign w:val="bottom"/>
            <w:gridSpan w:val="2"/>
          </w:tcPr>
          <w:p>
            <w:pPr>
              <w:ind w:left="2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280 Park Avenue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289"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being furnished to you in connection with the solicitation by the board of directors of ExlService Holdings, Inc., a Delaware corporation (“us,” “we,” “our” or the “Company”), of proxies to be used at our 2010 Annual Meeting of Stockholders to be held at The Ritz-Carlton, Westchester, Three Renaissance Square, White Plains, New York 10601, at 10:00 AM, Eastern Time, on June 24, 2010, and any adjournments or postponements thereof. This Proxy Statement and the accompanying form of proxy card are being mailed to stockholders on or about May 21,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Only stockholders who owned shares of our common stock at the close of business on May 11, 2010, the record date for the Annual Meeting, can vote at the Annual Meeting. As of the close of business on April 28, 2010, we had 29,159,958 shares of common stock outstanding and entitled to vote. Each holder of common stock is entitled to one vote for each share held as of the record date for the Annual Meeting. There is no cumulative voting in the election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mail will not limit your right to vote at the Annual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quorum, which is a majority of the issued and outstanding shares of our common stock as of May 11, 2010,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more nominees or abstain from voting your shares. For purposes of the vote on Proposal 1, abstentions will have no effect on the results of the vote.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Proposals</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ratification of the appointment of our independent registered public accounting firm and each other item to be acted upon at the Annual Meeting will require the affirmative vote of a majority of shares present in person or represented by proxy and entitled to vote at the Annual Meeting. You may cast your vote in favor of or against this proposal or you may abstain from voting your shares. For purposes of the vote on Proposal 2 or such other item to be acted upon at the Annual Meeting, abstentions will have the effect of a vote against this proposal.</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FOR the election of the nominees for director and FOR the ratification of the appointment of our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notice of meeting, proxy statement and form of proxy card are available at our website at http://ir.exlservice.com/proxy.cfm.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postage prepaid envelope so that your shares can be voted at the Annual Meeting. This will not limit your right to attend or vote at the Annual Meeting.</w:t>
      </w:r>
    </w:p>
    <w:p>
      <w:pPr>
        <w:spacing w:after="0" w:line="8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All Annual Meeting attendees may be asked to present a valid, government 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Annual Meeting, please call our Investor Relations Department at (212) 277-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7115.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w:t>
      </w:r>
    </w:p>
    <w:p>
      <w:pPr>
        <w:spacing w:after="0" w:line="1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Our board of directors currently consists of nine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380"/>
          </w:cols>
          <w:pgMar w:left="240" w:top="459" w:right="27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Class I Directors (term expiring in 2010):</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Edward V. Dardani Rohit Kapoor, our President and Chief Executive Officer Kiran Karnik</w:t>
      </w:r>
    </w:p>
    <w:p>
      <w:pPr>
        <w:spacing w:after="0" w:line="78" w:lineRule="exact"/>
        <w:rPr>
          <w:sz w:val="20"/>
          <w:szCs w:val="20"/>
          <w:color w:val="auto"/>
        </w:rPr>
      </w:pPr>
    </w:p>
    <w:p>
      <w:pPr>
        <w:sectPr>
          <w:pgSz w:w="11900" w:h="16838" w:orient="portrait"/>
          <w:cols w:equalWidth="0" w:num="2">
            <w:col w:w="4660" w:space="720"/>
            <w:col w:w="6000"/>
          </w:cols>
          <w:pgMar w:left="240" w:top="459" w:right="279" w:bottom="1440" w:gutter="0" w:footer="0" w:header="0"/>
          <w:type w:val="continuous"/>
        </w:sectPr>
      </w:pPr>
    </w:p>
    <w:p>
      <w:pPr>
        <w:spacing w:after="0"/>
        <w:tabs>
          <w:tab w:leader="none" w:pos="5360" w:val="left"/>
        </w:tabs>
        <w:rPr>
          <w:sz w:val="20"/>
          <w:szCs w:val="20"/>
          <w:color w:val="auto"/>
        </w:rPr>
      </w:pPr>
      <w:r>
        <w:rPr>
          <w:rFonts w:ascii="Arial" w:cs="Arial" w:eastAsia="Arial" w:hAnsi="Arial"/>
          <w:sz w:val="18"/>
          <w:szCs w:val="18"/>
          <w:color w:val="auto"/>
        </w:rPr>
        <w:t>Class II Directors (term expiring in 2011):</w:t>
      </w:r>
      <w:r>
        <w:rPr>
          <w:sz w:val="20"/>
          <w:szCs w:val="20"/>
          <w:color w:val="auto"/>
        </w:rPr>
        <w:tab/>
      </w:r>
      <w:r>
        <w:rPr>
          <w:rFonts w:ascii="Arial" w:cs="Arial" w:eastAsia="Arial" w:hAnsi="Arial"/>
          <w:sz w:val="16"/>
          <w:szCs w:val="16"/>
          <w:color w:val="auto"/>
        </w:rPr>
        <w:t>David B. Kelso</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Clyde W. Ostler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Vikram Talwar, our Executive Chairman</w:t>
      </w:r>
    </w:p>
    <w:p>
      <w:pPr>
        <w:sectPr>
          <w:pgSz w:w="11900" w:h="16838" w:orient="portrait"/>
          <w:cols w:equalWidth="0" w:num="1">
            <w:col w:w="11380"/>
          </w:cols>
          <w:pgMar w:left="240" w:top="459" w:right="27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Class III Directors (term expiring in 2012):</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Steven B. Gruber, our Lead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Dr. Mohanbir Sawhney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Garen K. Staglin</w:t>
      </w:r>
    </w:p>
    <w:p>
      <w:pPr>
        <w:spacing w:after="0" w:line="178" w:lineRule="exact"/>
        <w:rPr>
          <w:sz w:val="20"/>
          <w:szCs w:val="20"/>
          <w:color w:val="auto"/>
        </w:rPr>
      </w:pPr>
    </w:p>
    <w:p>
      <w:pPr>
        <w:sectPr>
          <w:pgSz w:w="11900" w:h="16838" w:orient="portrait"/>
          <w:cols w:equalWidth="0" w:num="2">
            <w:col w:w="4660" w:space="720"/>
            <w:col w:w="6000"/>
          </w:cols>
          <w:pgMar w:left="240" w:top="459" w:right="279" w:bottom="1440" w:gutter="0" w:footer="0" w:header="0"/>
          <w:type w:val="continuous"/>
        </w:sectPr>
      </w:pPr>
    </w:p>
    <w:p>
      <w:pPr>
        <w:ind w:right="400" w:firstLine="456"/>
        <w:spacing w:after="0" w:line="332" w:lineRule="auto"/>
        <w:rPr>
          <w:sz w:val="20"/>
          <w:szCs w:val="20"/>
          <w:color w:val="auto"/>
        </w:rPr>
      </w:pPr>
      <w:r>
        <w:rPr>
          <w:rFonts w:ascii="Arial" w:cs="Arial" w:eastAsia="Arial" w:hAnsi="Arial"/>
          <w:sz w:val="16"/>
          <w:szCs w:val="16"/>
          <w:color w:val="auto"/>
        </w:rPr>
        <w:t>The election of our Class I directors will take place at the Annual Meeting. If elected, each of the Class I director nominees will serve on our board of directors until our annual meeting of stockholders in 2013 or until their successors are duly elected and qualified in accordance with our by-laws.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additional information regarding our directors.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Vikram Talwar—Age: 60—co-founded ExlService.com, Inc., our predecessor (“EXL Inc.”), in April 1999 and has served as our Executive Chairman since May 2008. Mr. Talwar served as our Chief Executive Officer and Vice Chairman of our board of directors from November 2002 to April 2008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 The Company concluded, based in part on Mr. Talwar’s experience as a founder and past Chief Executive Officer of the Company, that he should serve as a director.</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Rohit Kapoor—Age: 45—co-founded EXL Inc. in April 1999 and has served as our President and Chief Executive Officer since May 2008 and as a director since November 2002. Mr. Kapoor served as our Chief Financial Officer from November 2002 until June 2005 and from August 2006 to March 2007, as our Chief Operating Officer from June 2007 until April 2008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 The Company concluded that in connection with Mr. Kapoor’s functions and responsibilities as Chief Executive Officer of the Company, he should serve as a director.</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Steven B. Gruber—Age: 52—has served as our Lead Director since May 2008 and served as our Chairman from November 2002 until April 2008. Since February 1999, Mr. Gruber has been a Managing Partner of Oak Hill Capital Management, Inc., the investment advisor to Oak Hill Capital Partners, L.P., one of our 5% stockholders. Since April 1990, Mr. Gruber has been a Managing Director of Oak Hill Partners, Inc. (including its predecessor entities) and the Manager of Acadia Partners, L.P. Additionally, since February 1994, he has been a Managing Partner of Insurance Partners Advisors L.P. The Company concluded, based on Mr. Gruber’s business experience at Oak Hill and as a member of public company boards of directors, that Mr. Gruber should serve as a director. In the past five years, Mr. Gruber has served on the boards of directors of American Skiing Company, Blackboard Inc., Travel Centers of America, Inc. and Williams Scotsman International, Inc.</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Edward V. Dardani—Age: 48—has served as a member of our board of directors since April 2005. Mr. Dardani is a Partner of Oak Hill Capital Partners, L.P., one of our 5% stockholders, which he joined in July 2002. Mr. Dardani is responsible for investments in business and financial services sectors. Mr. Dardani began his career at Merrill Lynch in their investment banking group. The Company concluded, based in part on Mr. Dardani’s business experience at Oak Hill and as a member of public company boards of directors, that Mr. Dardani should serve as a director. In the past five years, Mr. Dardani has served on the boards of directors of American Skiing Company, RSC Holdings, Inc., The Jacobson Companies, MeriStar Investment Partners and Southern Air, Inc.</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David B. Kelso—Age: 57—has served as a director since July 2006. Mr. Kelso most recently served as a senior advisor to Inductis, Inc. (“Inductis”) from June 2004 through June 2006. He served in the Office of the Chairman as Executive Vice President for Strategy and Finance for Aetna, Inc. from September 2001 through September 2003. Mr. Kelso served on the board of directors of Aetna Life Insurance Company from 2001 to 2003. In 2003, Mr. Kelso founded Kelso Advisory Services and serves as its Managing Director. The Company concluded, based in part on Mr. Kelso’s business experience with Inductis, his experience with companies in the insurance industry and in general, that Mr. Kelso should serve as a director. In the past five years, Mr. Kelso has served on the boards of directors of Aspen Holdings, Ltd., Assurant, Inc. and Sound Shore Fund, Inc.</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Clyde W. Ostler—Age: 63—has served as a member of our board of directors since December 2007. Mr. Ostler is currently the President of Wells Fargo Family Wealth. He has been employed at Wells Fargo &amp; Company since 1971 in various management positions, including as General Auditor from 1983 to 1986 and Chief Financial Officer from 1986 to 1990. The Company concluded, based in part on Mr. Ostler’s business experience through his positions at Wells Fargo &amp; Company, that Mr. Ostler should serve as a director. In the past five years, Mr. Ostler has served on the board of directors of Mercury Interactive Corp.</w:t>
      </w:r>
    </w:p>
    <w:p>
      <w:pPr>
        <w:spacing w:after="0" w:line="11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Dr. Mohanbir Sawhney—Age: 46—has served as a member of our board of directors since November 2005. Dr. Sawhney is a recognized author, scholar and consultant 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 The Company concluded, based in part on Dr. Sawhney’s scholarly and business experience, that Dr. Sawhney should serve as a director.</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Garen K. Staglin—Age: 65—has served as a member of our board of directors since June 2005. Mr. Staglin has over 35 years of experience in the financial services and technology industries. Mr. Staglin served on the board of directors of First Data Corporation, a credit card and financial services processing company, from 1992 to 2002 and was Chief Executive Officer of eONE Global LP, an emerging payments company, from 2001 to 2004. Mr. Staglin serves as a director on the boards of directors of several private companies. Mr. Staglin is a member of the Advisory Board of the Cambridge University Business School in the United Kingdom. The Company concluded, based in part on Mr. Staglin’s experience in the financial services and technology industries and his past experience as a member of public company boards of directors, that Mr. Staglin should serve as a director. In the past five years, Mr. Staglin has served on the board of directors of Bottomline Technologies, Inc. and on the international board of directors of Solera Holdings, Inc.</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Kiran Karnik—Age: 63—has served as a member of our board of directors since September 2008. From September 2001 through January 2008, Mr. Karnik served as President of NASSCOM, an Indian industry body representing companies in the information technology (IT) and IT-enabled services sectors. Prior to his tenure at NASSCOM, Mr. Karnik was the Managing Director at Discovery Networks in India. Earlier, Mr. Karnik was Founder-Director of the Consortium for Educational Communication. The Company concluded, based in part on Mr. Karnik’s business experience as President of NASSCOM and knowledge of the outsourcing industry, that Mr. Karnik should serve as a director. In the past five years, Mr. Karnik has served on the boards of directors of Torrent Pharmaceuticals Ltd., Torrent Power Ltd., Satyam Computer Services Limited and Sasken Communication Technologies Ltd.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Messrs. Talwar and Kapoor meet the independence requirements of the Nasdaq Stock Market and the federal securities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2009, our board of directors met five times. Except for Mr. Karnik, each member of our board of directors attended at least 75% of our board of directors meetings during the period in 2009 in which he served on our board of directors. It is our policy that all of our directors should attend our Annual Meetings of Stockholders absent exceptional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board of directors is currently led by Vikram Talwar, our Executive Chairman, and Steven B. Gruber, our Lead Director. Rohit Kapoor, our President and Chief Executive Officer, also serves as a member of our board of directors.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by-laws provide that our Executive Chairman or, in the absence of our Executive Chairman, our Lead Director, or in the absence of both our Executive Chairman and Lead Director, our Chief Executive Officer, shall call meetings of our board of directors to order and shall act as the chairman thereof. In the absence of our Executive Chairman, our Lead Director and our Chief Executive Officer, a majority of our directors present may elect as chairman of the meeting any director present.</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board of directors separated the positions of Chairman and Chief Executive Officer in May 2008 when Mr. Talwar, after serving as Vice Chairman and Chief Executive Officer of the Company from November 2002 to April 2008, became Executive Chairman and Mr. Kapoor was elected as our Chief Executive Officer. At the same, Mr. Gruber, who served as our Chairman from November 2002 until April 2008, became our Lead Director.</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Separating these positions allows our Chief Executive Officer to focus on spearheading strategy and execution by aligning our resources and key strengths to existing client needs and new market opportunities as well as day-to-day management of the Company, allows our Executive Chairman to devote the majority of his time to key client relationships and strategic business development initiatives and allows the Lead Director to facilitate the functioning of the board of directors independently of our management and to focus on our commitment to corporate governance. Because of the many responsibilities of our board of directors and the significant time and effort required by our Executive Chairman, our Lead Director and our Chief Executive Officer to perform their respective duties, we believe that having separate persons in these roles enhances the ability of each to discharge those duties effectively and, as a corollary, enhances our prospects for success. Our board of directors also believes that having separate positions provides a clear delineation of responsibilities for each position and fosters greater accountability of management.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oversees and assists our board of directors in fulfilling its oversight responsibilities with respect to:</w:t>
      </w:r>
    </w:p>
    <w:p>
      <w:pPr>
        <w:spacing w:after="0" w:line="113" w:lineRule="exact"/>
        <w:rPr>
          <w:sz w:val="20"/>
          <w:szCs w:val="20"/>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members of our Audit Committee are appointed by our board of directors. All members of our Audit Committee must also be recommended by our Nominating and Governance Committee. Messrs. Kelso, Sawhney and Ostler are the current members of our Audit Committee. Mr. Kelso is the chairman of our Audit Committee. Messrs. Kelso and Ostler qualify as audit committee financial experts under the rules of the SEC implementing Section 407 of the Sarbanes-Oxley Act of 2002. Our board of directors has determined that Messrs. Kelso, Sawhney and Ostler meet the independence and the experience requirements for audit committee membership of the Nasdaq Stock Market and the federal securities laws. During 2009, our Audit Committee met eight times. Each member of our Audit Committee attended at least 75% of our Audit Committee’s meetings in 2009.</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Nominating and Governance Committee. </w:t>
      </w:r>
      <w:r>
        <w:rPr>
          <w:rFonts w:ascii="Arial" w:cs="Arial" w:eastAsia="Arial" w:hAnsi="Arial"/>
          <w:sz w:val="16"/>
          <w:szCs w:val="16"/>
          <w:color w:val="auto"/>
        </w:rPr>
        <w:t>Our Nominating and Governance Committee identifies individuals qualified to become members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Governance Committee has a policy, reflected in such committee’s charter, of considering director candidates recommended by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stockholders. Candidate recommendations should be sent to our Nominating and Governance Committee, c/o ExlService Holdings, Inc., 280 Park Avenue,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10017, Attention: Corporate Secretary. Our Nominating and Governance Committee evaluates all candidates in the same manner regardless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source of the recommendation. Our Nominating and Governance Committee, in making its selection of director candidates, considers the appropriate skills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personal characteristics required in the light of the then-current makeup of our board of directors and in the context of our perceived needs at the time.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 Committee considers a number of factors in selecting director candidates, including:</w:t>
      </w:r>
    </w:p>
    <w:p>
      <w:pPr>
        <w:spacing w:after="0" w:line="8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diversity of our existing board of directors, so that we maintain a body of directors from diverse professional and personal backgrounds;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Nominating and Governance Committee reviews written and oral information provided by and about candidates and considers any additional criteria it feels are appropriate to ensure that all director nominees possess appropriate skills and experience to serve as a member of our board of directors.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w:t>
      </w:r>
    </w:p>
    <w:p>
      <w:pPr>
        <w:spacing w:after="0" w:line="120"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members of our Nominating and Governance Committee are appointed by our board of directors. During 2009, our Nominating and Governance Committee met three times. Each member of our Nominating and Governance Committee attended at least 75% of our Audit Committee’s meetings in 2009. Messrs. Dardani, Kelso, Sawhney and Staglin are the current members of our Nominating and Governance Committee. Mr. Staglin is the chairman of our Nominating and Governance Committee. Our board of directors has determined that Messrs. Dardani, Kelso, Sawhney and Staglin meet the independence requirements of the Nasdaq Stock Market and the federal securities laws.</w:t>
      </w:r>
    </w:p>
    <w:p>
      <w:pPr>
        <w:spacing w:after="0" w:line="1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Our Compensation Committee reviews and recommends policies relating to compensation and benefits of our directors, officers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employees and is responsible for approving the compensation of our Chief Executive Officer and other executive officers. Our Compensation Committee also</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Chief Executive Officer or other senior executive compensation and to carry out its duties. During 2009, our Compensation Committee did not retain any such advisors, consultants or other professionals. Our Compensation Committee’s report included in this proxy statement is on page 25. Additional information regarding our Compensation Committee’s processes and procedures for consideration for executive compensation are addressed in the Compensation Discussion and Analysis below. A copy of our Compensation Committee charter can be found on our website at www.exlservice.com.</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Gruber, Karnik, Ostler and Staglin are the current members of our Compensation Committee. Mr. Gruber is the chairman of our Compensation Committee. Our board of directors has determined that Messrs. Gruber, Karnik, Ostler and Staglin meet the independence requirements of the Nasdaq Stock Market and the federal securities laws. During 2009, our Compensation Committee met six times. Each member of our Compensation Committee attended at least 75% of our Compensation Committee meetings in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board of directors provides risk oversight of us.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The Audit Committee regularly reviews and discusses with management our major financial risk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Gruber, Karnik, Ostler and Staglin are the members of our Compensation Committee.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2009, none of our executive officers served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 suppliers, competitors and the general public. A copy of our Code of Conduct and Ethics can be found on our website at www.exlservice.com.</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interested in contacting our board of directors, our Executive Chairman or any individual director are invited to do so by writing to:</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All other stockholder communications addressed to our board of directors will be referred to our Executive Chairman and tracked by our Corporate Secretary. Stockholder communications specifically addressed to a particular director will be referred to that director.</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a periodic summary report of all such communications for our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Based solely on our review of the copies of such forms we have received, we believe that, except as set forth in the following sentence, all of our officers, directors and greater than 10% stockholders complied with all Section 16(a) filing requirements applicable to them with respect to transactions during fiscal year 2009. Due to an error by Mr. Talwar’s broker, Mr. Talwar filed one late report regarding seven transactions.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40" w:type="dxa"/>
            <w:vAlign w:val="bottom"/>
          </w:tcPr>
          <w:p>
            <w:pPr>
              <w:ind w:left="920"/>
              <w:spacing w:after="0"/>
              <w:rPr>
                <w:sz w:val="20"/>
                <w:szCs w:val="20"/>
                <w:color w:val="auto"/>
              </w:rPr>
            </w:pPr>
            <w:r>
              <w:rPr>
                <w:rFonts w:ascii="Arial" w:cs="Arial" w:eastAsia="Arial" w:hAnsi="Arial"/>
                <w:sz w:val="18"/>
                <w:szCs w:val="18"/>
                <w:b w:val="1"/>
                <w:bCs w:val="1"/>
                <w:color w:val="auto"/>
              </w:rPr>
              <w:t>OUR EXECUTIVE OFFICERS</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40" w:type="dxa"/>
            <w:vAlign w:val="bottom"/>
            <w:gridSpan w:val="5"/>
          </w:tcPr>
          <w:p>
            <w:pPr>
              <w:ind w:left="80"/>
              <w:spacing w:after="0"/>
              <w:rPr>
                <w:sz w:val="20"/>
                <w:szCs w:val="20"/>
                <w:color w:val="auto"/>
              </w:rPr>
            </w:pPr>
            <w:r>
              <w:rPr>
                <w:rFonts w:ascii="Arial" w:cs="Arial" w:eastAsia="Arial" w:hAnsi="Arial"/>
                <w:sz w:val="18"/>
                <w:szCs w:val="18"/>
                <w:color w:val="auto"/>
              </w:rPr>
              <w:t>The table below sets forth information regarding our executive officers.</w:t>
            </w:r>
          </w:p>
        </w:tc>
        <w:tc>
          <w:tcPr>
            <w:tcW w:w="0" w:type="dxa"/>
            <w:vAlign w:val="bottom"/>
          </w:tcPr>
          <w:p>
            <w:pPr>
              <w:spacing w:after="0"/>
              <w:rPr>
                <w:sz w:val="1"/>
                <w:szCs w:val="1"/>
                <w:color w:val="auto"/>
              </w:rPr>
            </w:pPr>
          </w:p>
        </w:tc>
      </w:tr>
      <w:tr>
        <w:trPr>
          <w:trHeight w:val="353"/>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Chairman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Vikas Bhalla</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Head of Outsourcing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Krishna Nacha</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Chief Sales and Marketing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Shashank</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 and Corporate Secretary of the Company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Head of Transformation Services and Managing Principal</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for Vikram Talwar and Rohit Kapoor can be found in “Our Board of Directors” above.</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Pavan Bagai</w:t>
      </w:r>
      <w:r>
        <w:rPr>
          <w:rFonts w:ascii="Arial" w:cs="Arial" w:eastAsia="Arial" w:hAnsi="Arial"/>
          <w:sz w:val="16"/>
          <w:szCs w:val="16"/>
          <w:color w:val="auto"/>
        </w:rPr>
        <w:t>—Age: 48—has served as our Chief Operating Officer since May 2008 and served as Vice President, Head of Outsourcing Services of EXL</w:t>
      </w:r>
      <w:r>
        <w:rPr>
          <w:rFonts w:ascii="Arial" w:cs="Arial" w:eastAsia="Arial" w:hAnsi="Arial"/>
          <w:sz w:val="16"/>
          <w:szCs w:val="16"/>
          <w:i w:val="1"/>
          <w:iCs w:val="1"/>
          <w:color w:val="auto"/>
        </w:rPr>
        <w:t xml:space="preserve"> </w:t>
      </w:r>
      <w:r>
        <w:rPr>
          <w:rFonts w:ascii="Arial" w:cs="Arial" w:eastAsia="Arial" w:hAnsi="Arial"/>
          <w:sz w:val="16"/>
          <w:szCs w:val="16"/>
          <w:color w:val="auto"/>
        </w:rPr>
        <w:t>India from June 2006 until April 2008.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at Bank of America beginning in 1985, including corporate banking, finance, capital markets and trading in various markets across Asia and Europe, including India.</w:t>
      </w:r>
    </w:p>
    <w:p>
      <w:pPr>
        <w:spacing w:after="0" w:line="116"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Vikas Bhalla</w:t>
      </w:r>
      <w:r>
        <w:rPr>
          <w:rFonts w:ascii="Arial" w:cs="Arial" w:eastAsia="Arial" w:hAnsi="Arial"/>
          <w:sz w:val="16"/>
          <w:szCs w:val="16"/>
          <w:color w:val="auto"/>
        </w:rPr>
        <w:t>—Age: 38—has served as our Head of Outsourcing since November 2009 and served as Vice President, Operations of EXL India from</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June 2006 to October 2009. He previously served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Vishal Chhibbar</w:t>
      </w:r>
      <w:r>
        <w:rPr>
          <w:rFonts w:ascii="Arial" w:cs="Arial" w:eastAsia="Arial" w:hAnsi="Arial"/>
          <w:sz w:val="16"/>
          <w:szCs w:val="16"/>
          <w:color w:val="auto"/>
        </w:rPr>
        <w:t>—Age: 42—has served as our and EXL India’s Chief Financial Officer since June 2009. He has over 20 years of professional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and was most recently with GE Capital since 1998 as Regional Director—Group Financial Planning, Strategy and Treasury. Since 2005, Mr. Chhibbar has served as the 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Prior to GE Capital, Mr. Chhibbar has worked for American Express Bank and Xerox in India.</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Krishna Nacha</w:t>
      </w:r>
      <w:r>
        <w:rPr>
          <w:rFonts w:ascii="Arial" w:cs="Arial" w:eastAsia="Arial" w:hAnsi="Arial"/>
          <w:sz w:val="16"/>
          <w:szCs w:val="16"/>
          <w:color w:val="auto"/>
        </w:rPr>
        <w:t>—Age: 40—has served as our Chief Sales and Marketing Officer since August 2007. Prior to joining us, Mr. Nacha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Regional Manager at iGate Global Solutions from January 2004 to August 2007 and as Global Sales Manager at Infosys Technologies Ltd. from September 1999 through December 2003. Prior to this, he spent six years in various sales, marketing and product management roles.</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Amit Shashank</w:t>
      </w:r>
      <w:r>
        <w:rPr>
          <w:rFonts w:ascii="Arial" w:cs="Arial" w:eastAsia="Arial" w:hAnsi="Arial"/>
          <w:sz w:val="16"/>
          <w:szCs w:val="16"/>
          <w:color w:val="auto"/>
        </w:rPr>
        <w:t>—Age: 40—has served as our General Counsel since June 2004. Mr. Shashank also serves as Corporate Secretary of the Company.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us, Mr. Shashank was an attorney with the law firm of Shearman &amp; Sterling LLP from January 1997 until June 2004.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Rembert de Villa</w:t>
      </w:r>
      <w:r>
        <w:rPr>
          <w:rFonts w:ascii="Arial" w:cs="Arial" w:eastAsia="Arial" w:hAnsi="Arial"/>
          <w:sz w:val="18"/>
          <w:szCs w:val="18"/>
          <w:color w:val="auto"/>
        </w:rPr>
        <w:t>—Age: 53—has served as our Head of Transformation Services and Managing Principal since April 2008. Prior to joining us, Mr. de Villa</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Managing Director and Global Practice Leader, Strategic Services at MasterCard Advisors from December 2005 through April 2008 and as Vice President and Financial Services Practice Leader for North America at Capgemini Ernst &amp; Young from March 2003 to December 2005. Prior to this, he was a Partner at A.T. Kearney’s Global Financial Institutions Group.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long-term success of companies that provide outsourcing and transformation services globally and deliver high quality services to clients is linked closely with their ability to recruit, train, motivate and retain employees at every level. In addition, there is significant competitive pressure in our industry for qualified managers with a demonstrated track record of achievement and the potential for higher achievement. Accordingly, it is critical that we recruit, train, motivate and retain highly talented individuals at all levels of the organization that are committed to our core values of accountability, innovation, excellence, urgency, integrity and mutual respect. We believe that our executive compensation programs are integral to achieving this end.</w:t>
      </w:r>
    </w:p>
    <w:p>
      <w:pPr>
        <w:spacing w:after="0" w:line="1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right="6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based upon performance. </w:t>
      </w:r>
      <w:r>
        <w:rPr>
          <w:rFonts w:ascii="Arial" w:cs="Arial" w:eastAsia="Arial" w:hAnsi="Arial"/>
          <w:sz w:val="16"/>
          <w:szCs w:val="16"/>
          <w:color w:val="auto"/>
        </w:rPr>
        <w:t>Our programs should deliver top-tier compensation in return for top-tier individual and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31" w:lineRule="exact"/>
        <w:rPr>
          <w:rFonts w:ascii="Arial" w:cs="Arial" w:eastAsia="Arial" w:hAnsi="Arial"/>
          <w:sz w:val="16"/>
          <w:szCs w:val="16"/>
          <w:color w:val="auto"/>
        </w:rPr>
      </w:pPr>
    </w:p>
    <w:p>
      <w:pPr>
        <w:ind w:left="900" w:right="2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balance long-term focus that is linked with stockholder value and short-term financial objectives. </w:t>
      </w:r>
      <w:r>
        <w:rPr>
          <w:rFonts w:ascii="Arial" w:cs="Arial" w:eastAsia="Arial" w:hAnsi="Arial"/>
          <w:sz w:val="16"/>
          <w:szCs w:val="16"/>
          <w:color w:val="auto"/>
        </w:rPr>
        <w:t>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31"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based on the level of job responsibility, individual performance and our performance. </w:t>
      </w:r>
      <w:r>
        <w:rPr>
          <w:rFonts w:ascii="Arial" w:cs="Arial" w:eastAsia="Arial" w:hAnsi="Arial"/>
          <w:sz w:val="18"/>
          <w:szCs w:val="18"/>
          <w:color w:val="auto"/>
        </w:rPr>
        <w:t>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tied to creation of stockholder value.</w:t>
      </w:r>
    </w:p>
    <w:p>
      <w:pPr>
        <w:spacing w:after="0" w:line="59"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reflect the value of the job in the marketplace. </w:t>
      </w:r>
      <w:r>
        <w:rPr>
          <w:rFonts w:ascii="Arial" w:cs="Arial" w:eastAsia="Arial" w:hAnsi="Arial"/>
          <w:sz w:val="16"/>
          <w:szCs w:val="16"/>
          <w:color w:val="auto"/>
        </w:rPr>
        <w:t>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 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4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programs should be easy to understand. </w:t>
      </w:r>
      <w:r>
        <w:rPr>
          <w:rFonts w:ascii="Arial" w:cs="Arial" w:eastAsia="Arial" w:hAnsi="Arial"/>
          <w:sz w:val="16"/>
          <w:szCs w:val="16"/>
          <w:color w:val="auto"/>
        </w:rPr>
        <w:t>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financial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Named Executive Officers</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named executive officers in 2009 were Vikram Talwar, our Executive Chairman, Rohit Kapoor, our President and Chief Executive Officer, Vishal Chhibbar, our Chief Financial Officer since June 1, 2009, Matthew Appel, our Chief Financial Officer through May 15, 2009, Rembert de Villa, our Head of Transformation and Managing Principal, and Pavan Bagai, our Chief Operating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Compensation Actions for 2009</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2009, we set performance goals and granted bonus awards under our annual cash incentive bonus program. We granted stock options to named executive officers in 2009. In addition, in connection with the resignation of Matt Appel, our former Chief Financial Officer, we entered into an amendment to his separation agreement with us, dated October 10, 2008, pursuant to which Mr. Appel resigned from the Company effective May 15,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51" w:lineRule="exact"/>
        <w:rPr>
          <w:sz w:val="20"/>
          <w:szCs w:val="20"/>
          <w:color w:val="auto"/>
        </w:rPr>
      </w:pPr>
    </w:p>
    <w:p>
      <w:pPr>
        <w:ind w:left="900" w:right="4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Assessment of Company Performance. </w:t>
      </w:r>
      <w:r>
        <w:rPr>
          <w:rFonts w:ascii="Arial" w:cs="Arial" w:eastAsia="Arial" w:hAnsi="Arial"/>
          <w:sz w:val="18"/>
          <w:szCs w:val="18"/>
          <w:color w:val="auto"/>
        </w:rPr>
        <w:t>Our Compensation Committee uses financial performance measures to determine a significant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size of payouts under our cash incentive bonus program. Our financial performance measures, chosen to focus employees on improving both top-line revenues and bottom-line earnings, are established by our Compensation Committee annually at the beginning of the year and are applied uniformly across the company.</w:t>
      </w:r>
    </w:p>
    <w:p>
      <w:pPr>
        <w:spacing w:after="0" w:line="143" w:lineRule="exact"/>
        <w:rPr>
          <w:sz w:val="20"/>
          <w:szCs w:val="20"/>
          <w:color w:val="auto"/>
        </w:rPr>
      </w:pPr>
    </w:p>
    <w:p>
      <w:pPr>
        <w:ind w:left="920" w:right="180"/>
        <w:spacing w:after="0" w:line="306" w:lineRule="auto"/>
        <w:rPr>
          <w:sz w:val="20"/>
          <w:szCs w:val="20"/>
          <w:color w:val="auto"/>
        </w:rPr>
      </w:pPr>
      <w:r>
        <w:rPr>
          <w:rFonts w:ascii="Arial" w:cs="Arial" w:eastAsia="Arial" w:hAnsi="Arial"/>
          <w:sz w:val="16"/>
          <w:szCs w:val="16"/>
          <w:color w:val="auto"/>
        </w:rPr>
        <w:t>Our Compensation Committee established 2009 financial performance measures for us based on a weighting of 50% on revenues and 50% on the profitability measure of earnings before interest and taxes. The profitability measure was adjusted to exclude the effect of expenses associated with stock compensation, the amortization of intangibles, and foreign exchange gains or losses (“Adjusted EBIT”).</w:t>
      </w:r>
    </w:p>
    <w:p>
      <w:pPr>
        <w:spacing w:after="0" w:line="107" w:lineRule="exact"/>
        <w:rPr>
          <w:sz w:val="20"/>
          <w:szCs w:val="20"/>
          <w:color w:val="auto"/>
        </w:rPr>
      </w:pPr>
    </w:p>
    <w:p>
      <w:pPr>
        <w:ind w:left="920" w:right="340"/>
        <w:spacing w:after="0" w:line="335" w:lineRule="auto"/>
        <w:rPr>
          <w:sz w:val="20"/>
          <w:szCs w:val="20"/>
          <w:color w:val="auto"/>
        </w:rPr>
      </w:pPr>
      <w:r>
        <w:rPr>
          <w:rFonts w:ascii="Arial" w:cs="Arial" w:eastAsia="Arial" w:hAnsi="Arial"/>
          <w:sz w:val="15"/>
          <w:szCs w:val="15"/>
          <w:color w:val="auto"/>
        </w:rPr>
        <w:t>Our Compensation Committee also established 2009 financial performance measures for our business lines in connection with determining the incentive bonus for employees, including senior executives, whose incentive bonuses are also tied partially to the financial performance of the relevant business lines. The financial performance measures for our business lines give equal weighting to revenue and gross margin percentage.</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When we achieve the established financial measures that are set forth in our annual operating plan, those of our employees who are eligible for cash</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incentive bonuses receive amounts that are at target. The cash incentive bonus for senior executives that have responsibility for our business lines is</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also tied to the financial or other performance of the business lines headed by such executives. These measures reflect targets that are intended to be</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aggressive but attainable. The remainder of an individual’s payout under our cash incentive bonus program is determined by individual performance.</w:t>
      </w:r>
    </w:p>
    <w:p>
      <w:pPr>
        <w:spacing w:after="0" w:line="107" w:lineRule="exact"/>
        <w:rPr>
          <w:sz w:val="20"/>
          <w:szCs w:val="20"/>
          <w:color w:val="auto"/>
        </w:rPr>
      </w:pPr>
    </w:p>
    <w:p>
      <w:pPr>
        <w:ind w:left="900" w:hanging="325"/>
        <w:spacing w:after="0" w:line="28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Individual Performance. </w:t>
      </w:r>
      <w:r>
        <w:rPr>
          <w:rFonts w:ascii="Arial" w:cs="Arial" w:eastAsia="Arial" w:hAnsi="Arial"/>
          <w:sz w:val="16"/>
          <w:szCs w:val="16"/>
          <w:color w:val="auto"/>
        </w:rPr>
        <w:t>Individual performance has a strong impact on the compensation of all employees, including Messrs. Talwar</w:t>
      </w:r>
      <w:r>
        <w:rPr>
          <w:rFonts w:ascii="Arial" w:cs="Arial" w:eastAsia="Arial" w:hAnsi="Arial"/>
          <w:sz w:val="16"/>
          <w:szCs w:val="16"/>
          <w:i w:val="1"/>
          <w:iCs w:val="1"/>
          <w:color w:val="auto"/>
        </w:rPr>
        <w:t xml:space="preserve"> </w:t>
      </w:r>
      <w:r>
        <w:rPr>
          <w:rFonts w:ascii="Arial" w:cs="Arial" w:eastAsia="Arial" w:hAnsi="Arial"/>
          <w:sz w:val="16"/>
          <w:szCs w:val="16"/>
          <w:color w:val="auto"/>
        </w:rPr>
        <w:t>and Kapoor, our founder executive officers, and our other executive officers. The evaluation of an individual’s performance determines a portion of the size of payouts under our cash incentive bonus program and also influences any changes in base salary. Early each year, our Nominating and Governance Committee meets separately by itself, with our Compensation Committee and with our founder executive officers to set their respective performance objectives for the year. The performance objectives are initially proposed by our founder executive officers and modified by our Nominating and Governance Committee based on the performance assessment conducted for the preceding year as well as for important priorities for the current year. Each agreed-upon objective is supplemented with key performance indicators. Our Nominating and Governance Committee’s goal is to design key performance indicators that are objective and easily measurable. At the beginning of the following year, our Nominating and Governance Committee meets to conduct a performance review of our founder executive officers based primarily on their respective achievement of the agreed-upon objectives as well as our founder executive officers’ contribution to our performance and other leadership accomplishments. This evaluation and a corresponding numerical performance rating is shared initially by our Nominating and Governance Committee with our Compensation Committee. After the discussion, our Compensation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Committee translates the numerical performance rating into specific payouts under our cash incentive bonus program and shares the cash payout information with our founder executive officers and at the same time our Nominating and Governance Committee shares the performance assessment with our founder executive officers. Any changes in base salary may also be affected by our Nominating and Governance Committee’s performance evaluation.</w:t>
      </w:r>
    </w:p>
    <w:p>
      <w:pPr>
        <w:spacing w:after="0" w:line="76"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For our other named executive officers, our Compensation Committee receives a performance assessment and compensation recommendation from our Chief Executive Officer. The performance assessments are based on self-evaluations by each of the direct reports of our Chief Executive Officer, including our other named executive officers, and subsequent performance appraisals conducted by our Chief Executive Officer in the presence of our Global Head of Human Resources. Our Compensation Committee reviews the performance assessments of these executives with and without our founder executive officers based on the achievement of established objectives by each executive officer and his or her business line (if applicable), his or her contribution to our performance and other leadership accomplishments as well as on an evaluation of the executive officer’s competence. In determining the numerical performance rating that translates into specific payouts under our cash incentive bonus program and also influences any changes in base salary, our Compensation Committee may also exercise its judgment based on our board of director’s interactions with such executive officers.</w:t>
      </w:r>
    </w:p>
    <w:p>
      <w:pPr>
        <w:spacing w:after="0" w:line="39" w:lineRule="exact"/>
        <w:rPr>
          <w:sz w:val="20"/>
          <w:szCs w:val="20"/>
          <w:color w:val="auto"/>
        </w:rPr>
      </w:pPr>
    </w:p>
    <w:p>
      <w:pPr>
        <w:ind w:left="900" w:right="80" w:hanging="325"/>
        <w:spacing w:after="0" w:line="28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Benchmarking and Use of Compensation Consultant. </w:t>
      </w:r>
      <w:r>
        <w:rPr>
          <w:rFonts w:ascii="Arial" w:cs="Arial" w:eastAsia="Arial" w:hAnsi="Arial"/>
          <w:sz w:val="16"/>
          <w:szCs w:val="16"/>
          <w:color w:val="auto"/>
        </w:rPr>
        <w:t>Our Compensation Committee reviews our executive compensation programs relative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compensation data compiled directly for our Compensation Committee by our Global Head of Human Resources for a group of companies that provide business and technology services. Our Global Head of Human Resources prepares the information for our Compensation Committee based on input from Equilar, Inc., a compensation data provider that we have engaged for the sole purpose of providing such data. At the time that compensation decisions were made for our U.S.-based executive officers and other senior officers in 2009, our Compensation Committee reviewed the publicly available information for companies that provided similar services and that had similar market capitalizations or annual revenues. In addition, they considered companies that were located in the most relevant geographic area for each executive officer. Different companies were considered for the compensation benchmark review of each executive officer. Where compensation information was not publicly disclosed for a specific management position for companies that provide business and technology services, our Compensation Committee reviewed data corresponding to the most comparable position and also considered the comparative experience of executives. The list of companies against which we benchmarked the compensation of certain of our named executive officers in 2009 included the following companies: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PEER GROUP USED FOR BENCHMARKING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5"/>
              </w:rPr>
              <w:t>Similar 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Comparable Market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Similar Business</w:t>
            </w:r>
          </w:p>
        </w:tc>
        <w:tc>
          <w:tcPr>
            <w:tcW w:w="220" w:type="dxa"/>
            <w:vAlign w:val="bottom"/>
          </w:tcPr>
          <w:p>
            <w:pPr>
              <w:spacing w:after="0"/>
              <w:rPr>
                <w:sz w:val="15"/>
                <w:szCs w:val="15"/>
                <w:color w:val="auto"/>
              </w:rPr>
            </w:pPr>
          </w:p>
        </w:tc>
        <w:tc>
          <w:tcPr>
            <w:tcW w:w="35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Similar Business</w:t>
            </w:r>
          </w:p>
        </w:tc>
        <w:tc>
          <w:tcPr>
            <w:tcW w:w="24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Capitalization or Revenues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Cognizant Technology Solutions Corp.</w:t>
            </w:r>
          </w:p>
        </w:tc>
        <w:tc>
          <w:tcPr>
            <w:tcW w:w="2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Solera Holdings, Inc.</w:t>
            </w:r>
          </w:p>
        </w:tc>
        <w:tc>
          <w:tcPr>
            <w:tcW w:w="24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iGATE Corp.</w:t>
            </w:r>
          </w:p>
        </w:tc>
        <w:tc>
          <w:tcPr>
            <w:tcW w:w="0" w:type="dxa"/>
            <w:vAlign w:val="bottom"/>
          </w:tcPr>
          <w:p>
            <w:pPr>
              <w:spacing w:after="0"/>
              <w:rPr>
                <w:sz w:val="1"/>
                <w:szCs w:val="1"/>
                <w:color w:val="auto"/>
              </w:rPr>
            </w:pPr>
          </w:p>
        </w:tc>
      </w:tr>
      <w:tr>
        <w:trPr>
          <w:trHeight w:val="282"/>
        </w:trPr>
        <w:tc>
          <w:tcPr>
            <w:tcW w:w="3780" w:type="dxa"/>
            <w:vAlign w:val="bottom"/>
            <w:gridSpan w:val="2"/>
          </w:tcPr>
          <w:p>
            <w:pPr>
              <w:spacing w:after="0"/>
              <w:rPr>
                <w:sz w:val="20"/>
                <w:szCs w:val="20"/>
                <w:color w:val="auto"/>
              </w:rPr>
            </w:pPr>
            <w:r>
              <w:rPr>
                <w:rFonts w:ascii="Arial" w:cs="Arial" w:eastAsia="Arial" w:hAnsi="Arial"/>
                <w:sz w:val="18"/>
                <w:szCs w:val="18"/>
                <w:color w:val="auto"/>
              </w:rPr>
              <w:t>Convergys Corporation</w:t>
            </w:r>
          </w:p>
        </w:tc>
        <w:tc>
          <w:tcPr>
            <w:tcW w:w="2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Sykes Enterprises Inc.</w:t>
            </w:r>
          </w:p>
        </w:tc>
        <w:tc>
          <w:tcPr>
            <w:tcW w:w="24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Intelligroup Inc.</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Firstsource</w:t>
            </w:r>
          </w:p>
        </w:tc>
        <w:tc>
          <w:tcPr>
            <w:tcW w:w="2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Syntel Inc.</w:t>
            </w:r>
          </w:p>
        </w:tc>
        <w:tc>
          <w:tcPr>
            <w:tcW w:w="24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Virtusa Corp.</w:t>
            </w:r>
          </w:p>
        </w:tc>
        <w:tc>
          <w:tcPr>
            <w:tcW w:w="0" w:type="dxa"/>
            <w:vAlign w:val="bottom"/>
          </w:tcPr>
          <w:p>
            <w:pPr>
              <w:spacing w:after="0"/>
              <w:rPr>
                <w:sz w:val="1"/>
                <w:szCs w:val="1"/>
                <w:color w:val="auto"/>
              </w:rPr>
            </w:pPr>
          </w:p>
        </w:tc>
      </w:tr>
      <w:tr>
        <w:trPr>
          <w:trHeight w:val="282"/>
        </w:trPr>
        <w:tc>
          <w:tcPr>
            <w:tcW w:w="3780" w:type="dxa"/>
            <w:vAlign w:val="bottom"/>
            <w:gridSpan w:val="2"/>
          </w:tcPr>
          <w:p>
            <w:pPr>
              <w:spacing w:after="0"/>
              <w:rPr>
                <w:sz w:val="20"/>
                <w:szCs w:val="20"/>
                <w:color w:val="auto"/>
              </w:rPr>
            </w:pPr>
            <w:r>
              <w:rPr>
                <w:rFonts w:ascii="Arial" w:cs="Arial" w:eastAsia="Arial" w:hAnsi="Arial"/>
                <w:sz w:val="18"/>
                <w:szCs w:val="18"/>
                <w:color w:val="auto"/>
              </w:rPr>
              <w:t>Genpact Ltd.</w:t>
            </w:r>
          </w:p>
        </w:tc>
        <w:tc>
          <w:tcPr>
            <w:tcW w:w="2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Teletech Holdings Inc.</w:t>
            </w: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Hewitt Associates Inc.</w:t>
            </w:r>
          </w:p>
        </w:tc>
        <w:tc>
          <w:tcPr>
            <w:tcW w:w="2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WNS (Holdings) Ltd.</w:t>
            </w:r>
          </w:p>
        </w:tc>
        <w:tc>
          <w:tcPr>
            <w:tcW w:w="24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780" w:type="dxa"/>
            <w:vAlign w:val="bottom"/>
            <w:gridSpan w:val="2"/>
          </w:tcPr>
          <w:p>
            <w:pPr>
              <w:spacing w:after="0"/>
              <w:rPr>
                <w:sz w:val="20"/>
                <w:szCs w:val="20"/>
                <w:color w:val="auto"/>
              </w:rPr>
            </w:pPr>
            <w:r>
              <w:rPr>
                <w:rFonts w:ascii="Arial" w:cs="Arial" w:eastAsia="Arial" w:hAnsi="Arial"/>
                <w:sz w:val="18"/>
                <w:szCs w:val="18"/>
                <w:color w:val="auto"/>
              </w:rPr>
              <w:t>Sapient Corp.</w:t>
            </w:r>
          </w:p>
        </w:tc>
        <w:tc>
          <w:tcPr>
            <w:tcW w:w="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60" w:type="dxa"/>
            <w:vAlign w:val="bottom"/>
            <w:gridSpan w:val="2"/>
          </w:tcPr>
          <w:p>
            <w:pPr>
              <w:jc w:val="right"/>
              <w:ind w:right="1656"/>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spacing w:after="0" w:line="294" w:lineRule="auto"/>
        <w:rPr>
          <w:sz w:val="20"/>
          <w:szCs w:val="20"/>
          <w:color w:val="auto"/>
        </w:rPr>
      </w:pPr>
      <w:r>
        <w:rPr>
          <w:rFonts w:ascii="Arial" w:cs="Arial" w:eastAsia="Arial" w:hAnsi="Arial"/>
          <w:sz w:val="16"/>
          <w:szCs w:val="16"/>
          <w:color w:val="auto"/>
        </w:rPr>
        <w:t>Our Compensation Committee will review and revise as appropriate from time to time the list of companies with publicly available compensation information against whom we may benchmark our compensation programs, to ensure that such list includes those companies that are most comparable to us with regard to services provided and relevant geographic areas. For geographic areas (such as India) where we are not able to obtain reliable publicly available compensation data for our executive officers because such information is not legally required to be disclosed, our Global Head of Human Resources uses data from a variety of private and informal sources, none of which are paid for providing such data.</w:t>
      </w:r>
    </w:p>
    <w:p>
      <w:pPr>
        <w:spacing w:after="0" w:line="35" w:lineRule="exact"/>
        <w:rPr>
          <w:sz w:val="20"/>
          <w:szCs w:val="20"/>
          <w:color w:val="auto"/>
        </w:rPr>
      </w:pPr>
    </w:p>
    <w:p>
      <w:pPr>
        <w:ind w:left="900" w:right="40"/>
        <w:spacing w:after="0" w:line="289" w:lineRule="auto"/>
        <w:rPr>
          <w:sz w:val="20"/>
          <w:szCs w:val="20"/>
          <w:color w:val="auto"/>
        </w:rPr>
      </w:pPr>
      <w:r>
        <w:rPr>
          <w:rFonts w:ascii="Arial" w:cs="Arial" w:eastAsia="Arial" w:hAnsi="Arial"/>
          <w:sz w:val="16"/>
          <w:szCs w:val="16"/>
          <w:color w:val="auto"/>
        </w:rPr>
        <w:t>Our Compensation Committee uses the data primarily to ensure that our executive compensation programs, including for executive officers, are competitive. We incorporate flexibility into our compensation programs and in the assessment process to respond to and adjust for the evolving business environment. During 2009, for example, we noted that competitive companies in India had longer review cycles than ours, so we changed the salary implementation cycle relating to base salary increases for our Vice Presidents (including executive officers) from twelve months to sixteen and a half months. Our Compensation Committee adjusts individual executive compensation elements based on changes in job responsibilities of the executive, the performance of the executive or the combination of qualifications and skills that an executive uses to enhance our performance. Neither we nor our Compensation Committee has any contractual arrangement with any compensation consultant who has a role in determining or recommending the amount or form of director or executive officer compensation.</w:t>
      </w:r>
    </w:p>
    <w:p>
      <w:pPr>
        <w:spacing w:after="0" w:line="37" w:lineRule="exact"/>
        <w:rPr>
          <w:sz w:val="20"/>
          <w:szCs w:val="20"/>
          <w:color w:val="auto"/>
        </w:rPr>
      </w:pPr>
    </w:p>
    <w:p>
      <w:pPr>
        <w:ind w:left="900" w:hanging="325"/>
        <w:spacing w:after="0" w:line="290"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Total Compensation Review. </w:t>
      </w:r>
      <w:r>
        <w:rPr>
          <w:rFonts w:ascii="Arial" w:cs="Arial" w:eastAsia="Arial" w:hAnsi="Arial"/>
          <w:sz w:val="16"/>
          <w:szCs w:val="16"/>
          <w:color w:val="auto"/>
        </w:rPr>
        <w:t>Our Compensation Committee designs the categories and presentation of compensation information required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executive’s base pay, cash incentive bonus and equity incentives when changes in compensation are considered by our Compensation Committee and requests our Global Head of Human Resources to compile such information. Although many compensation decisions are made in the first quarter of the fiscal year, our compensation planning process neither begins nor ends with any particular Compensation Committee meeting. Compensation decisions are designed to promote our fundamental business objectives and strategy. Our Compensation Committee periodically reviews related matters such as succession planning, changes in the scope of managerial responsibilities, evaluation of management performance and consideration of the business environment and considers such matters in making compensation decisions.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named executive officer and our other executive officers is party to an employment agreement or letter that sets forth the terms of his or her employment, including compensation. The employment agreements for our founder executive officers have specified terms, but the employment letters for our other executive officers do not have specified expiration terms and are terminable by either the executive or us at will. If decisions are made by our Compensation Committee that materially change the terms of employment of an individual executive officer or modify existing compensation programs, we communicate the information to the concerned officer or company-wide, as the case may be.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Executive Compensation for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2009,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incentives of stock options and/or restricted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mix of compensation elements is designed to reward recent results, motivate long-term performance and encourage our executives to remain with us for longer terms through a combination of cash and equity incentive awards. Base salaries and cash incentive bonuses are designed to reward annual achievements and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commensurate with the executive’s scope of managerial responsibilities, demonstrated leadership abilities, and management experience and expertise. Our other elements of compensation focus on motivating and challenging the executive to achieve sustained and longer-term results. We generally do not adhere to rigid formulas or necessarily react to short-term changes in business performance in determining the amount and mix of compensation elements. However, we do rely on the formulaic achievement of our revenue and Adjusted EBIT targets in connection with determining a significant portion of the cash incentive bonuses for our executive officers and other members of management. We believe the most important indicator of whether our compensation objectives are being met is our ability to motivate our executive officers to deliver superior performance and retain them to continue their careers with us on a cost-effective basis.</w:t>
      </w:r>
    </w:p>
    <w:p>
      <w:pPr>
        <w:spacing w:after="0" w:line="12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Compensation Committee believes that these programs balance both the mix of cash and equity compensation, the mix of currently-paid and long-term compensation, and the security of comprehensive and severance benefits in a way that furthers the compensation objectives discussed above. The periodic review of each executive’s base pay, cash incentive bonus and equity incentives by our Compensation Committee is intended to maintain the appropriate balance for each executive officer based on their roles and responsibilities.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 salary is a fixed element of employees’ annual cash compensation, the payment of which is not tied to our performance. We provide the opportunity for each of our named executive officers and other executive officers to earn a competitive annual base salary. We provide this opportunity to attract and retain an appropriate caliber of talent for the position and to provide a base wage that is not subject to our performance risk. In 2009, we implemented base salary increases for certain of our named executive officers on a sixteen and a half month cycle. We recognize that changes in the scope of managerial responsibilities could warrant increases before the scheduled review. Base salary determinations reflect the individual’s experience, scope of managerial responsibilities, skill set and the market value of that skill set. In setting base salaries for 2009, our Compensation Committee considered the following factors:</w:t>
      </w:r>
    </w:p>
    <w:p>
      <w:pPr>
        <w:spacing w:after="0" w:line="39" w:lineRule="exact"/>
        <w:rPr>
          <w:sz w:val="20"/>
          <w:szCs w:val="20"/>
          <w:color w:val="auto"/>
        </w:rPr>
      </w:pPr>
    </w:p>
    <w:p>
      <w:pPr>
        <w:ind w:left="900" w:right="2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performance. As described above under “Our Compensation Committee’s Processes,” base salary increases take into account individual performance and competence assessments.</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data specific to the executive’s position, where applicable. As noted above, our Compensation Committee used certain geographical and market data to test for reasonableness and competitiveness of base salaries, but we also exercised subjective judgment based on the rapid growth of our industry and our view of our compensation objectives.</w:t>
      </w:r>
    </w:p>
    <w:p>
      <w:pPr>
        <w:spacing w:after="0" w:line="59" w:lineRule="exact"/>
        <w:rPr>
          <w:rFonts w:ascii="Arial" w:cs="Arial" w:eastAsia="Arial" w:hAnsi="Arial"/>
          <w:sz w:val="18"/>
          <w:szCs w:val="18"/>
          <w:color w:val="auto"/>
        </w:rPr>
      </w:pPr>
    </w:p>
    <w:p>
      <w:pPr>
        <w:ind w:left="900" w:right="360" w:hanging="325"/>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Consideration of the mix of overall compensation. Consistent with our compensation objectives, as employees progress to higher levels in the organization, a greater proportion of overall compensation is directly linked to our performance and stockholder value. Thus, for example, our founder executive officers’ overall compensation is more heavily weighted toward equity compensation than that of our other executive officers.</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founder executive officers entered into new employment agreements prior to our initial public offering in 2006 to more closely align the terms of such agreements with those of executives holding equivalent roles at other public companies, including periodic compensation adjustments and annual equity awards. At the time of the negotiation of the employment agreements with Messrs. Talwar and Kapoor in 2006, our Compensation Committee did not make any changes to their salary levels but increased the base pay for each of our founder executive officers to $420,000 effective January 2007. Effective March 16, 2010, we have increased Mr. Kapoor’s annual base salary to $500,000, extended the term of his employment to December 31, 2012, and increased the amount we will pay for the lease of an automobile for Mr. Kapoor to $1,400 per month. In addition, we corrected a typographical error in a cross reference in Mr. Kapoor’s employment agreement to clarify that all accelerated vesting of equity associated with a change in control will apply to all unvested equity awards granted on and after September 30, 2006.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base salary earned during 2009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Salary ($)</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tcPr>
          <w:p>
            <w:pPr>
              <w:jc w:val="right"/>
              <w:spacing w:after="0"/>
              <w:rPr>
                <w:sz w:val="20"/>
                <w:szCs w:val="20"/>
                <w:color w:val="auto"/>
              </w:rPr>
            </w:pPr>
            <w:r>
              <w:rPr>
                <w:rFonts w:ascii="Arial" w:cs="Arial" w:eastAsia="Arial" w:hAnsi="Arial"/>
                <w:sz w:val="18"/>
                <w:szCs w:val="18"/>
                <w:color w:val="auto"/>
              </w:rPr>
              <w:t>420,000</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151,033</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Matthew Appel</w:t>
            </w:r>
          </w:p>
        </w:tc>
        <w:tc>
          <w:tcPr>
            <w:tcW w:w="780" w:type="dxa"/>
            <w:vAlign w:val="bottom"/>
          </w:tcPr>
          <w:p>
            <w:pPr>
              <w:jc w:val="right"/>
              <w:spacing w:after="0"/>
              <w:rPr>
                <w:sz w:val="20"/>
                <w:szCs w:val="20"/>
                <w:color w:val="auto"/>
              </w:rPr>
            </w:pPr>
            <w:r>
              <w:rPr>
                <w:rFonts w:ascii="Arial" w:cs="Arial" w:eastAsia="Arial" w:hAnsi="Arial"/>
                <w:sz w:val="18"/>
                <w:szCs w:val="18"/>
                <w:color w:val="auto"/>
              </w:rPr>
              <w:t>140,625</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224,719</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780" w:type="dxa"/>
            <w:vAlign w:val="bottom"/>
          </w:tcPr>
          <w:p>
            <w:pPr>
              <w:jc w:val="right"/>
              <w:spacing w:after="0"/>
              <w:rPr>
                <w:sz w:val="20"/>
                <w:szCs w:val="20"/>
                <w:color w:val="auto"/>
              </w:rPr>
            </w:pPr>
            <w:r>
              <w:rPr>
                <w:rFonts w:ascii="Arial" w:cs="Arial" w:eastAsia="Arial" w:hAnsi="Arial"/>
                <w:sz w:val="18"/>
                <w:szCs w:val="18"/>
                <w:color w:val="auto"/>
              </w:rPr>
              <w:t>350,000</w:t>
            </w: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our compensation policies for executives stationed in India, Messrs. Chhibbar and Bagai each received additional cash compensation over and above their base salary in amounts equal to the portions of the housing allowances, automobile allowances and other allowances to which they were entitled in 2009 but which they did not use. Those amounts are detailed in the footnotes to the Summary Compensation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Incentive Bonus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established an annual cash incentive bonus program in order to align our executive officers’ and certain other employees’ goals with our revenue and profitability objectives for the current year. A cash incentive bonus program was approved by our Compensation Committee in early 2009 with respect to the cash incentive bonuses to be paid in 2010 to all eligible employees worldwide. The aggregate amount of all cash bonuses paid for 2009 did not exceed the aggregate cash incentive bonus pool approved by our Compensation Committee in 2009. Under the plan, bonus target amounts, expressed as a percentage of base salary or annual fixed compensation, are established for participants at the beginning of each year unless their employment agreements contain different terms. Funding of possible bonus payouts for the year are determined by our financial results for the year relative to predetermined performance measures, and may be increased or decreased depending upon the executive’s individual performance against his or her performance goals. When our performance falls short of target, our aggregate funding of the annual cash bonus incentive pool declines, with no funding of the bonus pool if we do not achieve at least 90% of each of our established financial performance objectives. At the end of the performance period, our Compensation Committee has discretion to adjust an award payout from the amount yielded by the formula. For 2009, our Compensation Committee did not adjust an award payout for any executive officer. Our Compensation Committee considered the following when establishing the awards for 2009:</w:t>
      </w:r>
    </w:p>
    <w:p>
      <w:pPr>
        <w:spacing w:after="0" w:line="46" w:lineRule="exact"/>
        <w:rPr>
          <w:sz w:val="20"/>
          <w:szCs w:val="20"/>
          <w:color w:val="auto"/>
        </w:rPr>
      </w:pPr>
    </w:p>
    <w:p>
      <w:pPr>
        <w:ind w:left="900" w:right="140" w:hanging="325"/>
        <w:spacing w:after="0" w:line="302"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i w:val="1"/>
          <w:iCs w:val="1"/>
          <w:color w:val="auto"/>
        </w:rPr>
        <w:t xml:space="preserve">Bonus Targets. </w:t>
      </w:r>
      <w:r>
        <w:rPr>
          <w:rFonts w:ascii="Arial" w:cs="Arial" w:eastAsia="Arial" w:hAnsi="Arial"/>
          <w:sz w:val="15"/>
          <w:szCs w:val="15"/>
          <w:color w:val="auto"/>
        </w:rPr>
        <w:t>Bonus targets were based on job responsibilities and comparable market data. Our objective was to set bonus targets such that total</w:t>
      </w:r>
      <w:r>
        <w:rPr>
          <w:rFonts w:ascii="Arial" w:cs="Arial" w:eastAsia="Arial" w:hAnsi="Arial"/>
          <w:sz w:val="15"/>
          <w:szCs w:val="15"/>
          <w:i w:val="1"/>
          <w:iCs w:val="1"/>
          <w:color w:val="auto"/>
        </w:rPr>
        <w:t xml:space="preserve"> </w:t>
      </w:r>
      <w:r>
        <w:rPr>
          <w:rFonts w:ascii="Arial" w:cs="Arial" w:eastAsia="Arial" w:hAnsi="Arial"/>
          <w:sz w:val="15"/>
          <w:szCs w:val="15"/>
          <w:color w:val="auto"/>
        </w:rPr>
        <w:t>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cash compensation tied to our performance through the bonus plan. Thus, our Compensation Committee established the following bonus targets for</w:t>
      </w:r>
    </w:p>
    <w:p>
      <w:pPr>
        <w:spacing w:after="0" w:line="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2009 (expressed as a percentage of base salary or annual fixed compensation as well as maximum bonus targets) for each named executive officer:</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700" w:type="dxa"/>
            <w:vAlign w:val="bottom"/>
            <w:tcBorders>
              <w:bottom w:val="single" w:sz="8" w:color="auto"/>
            </w:tcBorders>
          </w:tcPr>
          <w:p>
            <w:pPr>
              <w:jc w:val="right"/>
              <w:ind w:right="2892"/>
              <w:spacing w:after="0"/>
              <w:rPr>
                <w:sz w:val="20"/>
                <w:szCs w:val="20"/>
                <w:color w:val="auto"/>
              </w:rPr>
            </w:pPr>
            <w:r>
              <w:rPr>
                <w:rFonts w:ascii="Arial" w:cs="Arial" w:eastAsia="Arial" w:hAnsi="Arial"/>
                <w:sz w:val="14"/>
                <w:szCs w:val="14"/>
                <w:b w:val="1"/>
                <w:bCs w:val="1"/>
                <w:color w:val="auto"/>
              </w:rPr>
              <w:t>Bonus Target</w:t>
            </w:r>
          </w:p>
        </w:tc>
      </w:tr>
      <w:tr>
        <w:trPr>
          <w:trHeight w:val="210"/>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5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540" w:type="dxa"/>
            <w:vAlign w:val="bottom"/>
            <w:gridSpan w:val="2"/>
          </w:tcPr>
          <w:p>
            <w:pPr>
              <w:ind w:left="84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75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1"/>
              </w:rPr>
              <w:t>50% of annual fixed compensation; maximum bonus of 100% of annual fixed compensation</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Matthew Appel</w:t>
            </w:r>
          </w:p>
        </w:tc>
        <w:tc>
          <w:tcPr>
            <w:tcW w:w="7540" w:type="dxa"/>
            <w:vAlign w:val="bottom"/>
            <w:gridSpan w:val="2"/>
          </w:tcPr>
          <w:p>
            <w:pPr>
              <w:ind w:left="840"/>
              <w:spacing w:after="0"/>
              <w:rPr>
                <w:sz w:val="20"/>
                <w:szCs w:val="20"/>
                <w:color w:val="auto"/>
              </w:rPr>
            </w:pPr>
            <w:r>
              <w:rPr>
                <w:rFonts w:ascii="Arial" w:cs="Arial" w:eastAsia="Arial" w:hAnsi="Arial"/>
                <w:sz w:val="18"/>
                <w:szCs w:val="18"/>
                <w:color w:val="auto"/>
              </w:rPr>
              <w:t>Special pro rata bonus of $31,000</w:t>
            </w: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75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1"/>
              </w:rPr>
              <w:t>50% of annual fixed compensation; maximum bonus of 100% of annual fixed compensation</w:t>
            </w:r>
          </w:p>
        </w:tc>
      </w:tr>
      <w:tr>
        <w:trPr>
          <w:trHeight w:val="222"/>
        </w:trPr>
        <w:tc>
          <w:tcPr>
            <w:tcW w:w="204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7540" w:type="dxa"/>
            <w:vAlign w:val="bottom"/>
            <w:gridSpan w:val="2"/>
          </w:tcPr>
          <w:p>
            <w:pPr>
              <w:ind w:left="840"/>
              <w:spacing w:after="0"/>
              <w:rPr>
                <w:sz w:val="20"/>
                <w:szCs w:val="20"/>
                <w:color w:val="auto"/>
              </w:rPr>
            </w:pPr>
            <w:r>
              <w:rPr>
                <w:rFonts w:ascii="Arial" w:cs="Arial" w:eastAsia="Arial" w:hAnsi="Arial"/>
                <w:sz w:val="18"/>
                <w:szCs w:val="18"/>
                <w:color w:val="auto"/>
              </w:rPr>
              <w:t>70% of base salary; maximum bonus of 140% of base salary</w:t>
            </w:r>
          </w:p>
        </w:tc>
      </w:tr>
      <w:tr>
        <w:trPr>
          <w:trHeight w:val="356"/>
        </w:trPr>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540" w:type="dxa"/>
            <w:vAlign w:val="bottom"/>
            <w:gridSpan w:val="2"/>
          </w:tcPr>
          <w:p>
            <w:pPr>
              <w:jc w:val="right"/>
              <w:ind w:right="4632"/>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340"/>
        <w:spacing w:after="0" w:line="259" w:lineRule="auto"/>
        <w:rPr>
          <w:sz w:val="20"/>
          <w:szCs w:val="20"/>
          <w:color w:val="auto"/>
        </w:rPr>
      </w:pPr>
      <w:r>
        <w:rPr>
          <w:rFonts w:ascii="Arial" w:cs="Arial" w:eastAsia="Arial" w:hAnsi="Arial"/>
          <w:sz w:val="18"/>
          <w:szCs w:val="18"/>
          <w:color w:val="auto"/>
        </w:rPr>
        <w:t>As employees progress to higher levels of management, they are able to more directly affect our results and strategic initiatives, and therefore an increasing proportion of their pay is linked to our financial performance. For 2009, the target bonus for each of our named executive officers was 60% dependent on our financial performance and 40% dependent on individual performance.</w:t>
      </w:r>
    </w:p>
    <w:p>
      <w:pPr>
        <w:spacing w:after="0" w:line="59" w:lineRule="exact"/>
        <w:rPr>
          <w:sz w:val="20"/>
          <w:szCs w:val="20"/>
          <w:color w:val="auto"/>
        </w:rPr>
      </w:pPr>
    </w:p>
    <w:p>
      <w:pPr>
        <w:ind w:left="900" w:right="40" w:hanging="325"/>
        <w:spacing w:after="0" w:line="289"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Our performance measures. </w:t>
      </w:r>
      <w:r>
        <w:rPr>
          <w:rFonts w:ascii="Arial" w:cs="Arial" w:eastAsia="Arial" w:hAnsi="Arial"/>
          <w:sz w:val="16"/>
          <w:szCs w:val="16"/>
          <w:color w:val="auto"/>
        </w:rPr>
        <w:t>For all employees whose cash incentive bonus is linked to our financial performance, including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our Compensation Committee established 2009 financial performance measures for us based on a weighting of 50% on revenues and 50% on Adjusted EBIT. Our Compensation Committee also set forth the 2009 financial performance measures for our business lines in connection with determining the incentive bonuses for employees, including senior executives, whose incentive bonuses are also tied partially to the financial performance of the relevant business lines. With respect to Messrs. Bagai and Chhibbar, the 60% financial component is based on our financial performance against the targets as described above. With respect to Mr. de Villa, the 60% financial component is separated into two parts: 30% based on our financial performance against the targets as described above, and 30% based on the financial performance of our transformation business line and measured in equal parts based on the revenues target and gross margin percentage.</w:t>
      </w:r>
    </w:p>
    <w:p>
      <w:pPr>
        <w:spacing w:after="0" w:line="37" w:lineRule="exact"/>
        <w:rPr>
          <w:rFonts w:ascii="Arial" w:cs="Arial" w:eastAsia="Arial" w:hAnsi="Arial"/>
          <w:sz w:val="16"/>
          <w:szCs w:val="16"/>
          <w:color w:val="auto"/>
        </w:rPr>
      </w:pPr>
    </w:p>
    <w:p>
      <w:pPr>
        <w:ind w:left="900" w:right="60"/>
        <w:spacing w:after="0" w:line="294" w:lineRule="auto"/>
        <w:rPr>
          <w:rFonts w:ascii="Arial" w:cs="Arial" w:eastAsia="Arial" w:hAnsi="Arial"/>
          <w:sz w:val="16"/>
          <w:szCs w:val="16"/>
          <w:color w:val="auto"/>
        </w:rPr>
      </w:pPr>
      <w:r>
        <w:rPr>
          <w:rFonts w:ascii="Arial" w:cs="Arial" w:eastAsia="Arial" w:hAnsi="Arial"/>
          <w:sz w:val="16"/>
          <w:szCs w:val="16"/>
          <w:color w:val="auto"/>
        </w:rPr>
        <w:t>Our Compensation Committee believes that this mix of performance measures encourages employees to focus appropriately on improving both top-line revenues and bottom-line earnings. The measures are also effective motivators because they are easy to track and clearly understood by employees. In 2009, payouts could have ranged from zero to 200% of target depending on our performance. Our Compensation Committee established the financial performance measures for both revenues and Adjusted EBIT (and revenues and gross margin percentage for the outsourcing and transformation business lines) by applying the principles described above under “Our Compensation Committee’s Processes.”</w:t>
      </w:r>
    </w:p>
    <w:p>
      <w:pPr>
        <w:spacing w:after="0" w:line="34" w:lineRule="exact"/>
        <w:rPr>
          <w:rFonts w:ascii="Arial" w:cs="Arial" w:eastAsia="Arial" w:hAnsi="Arial"/>
          <w:sz w:val="16"/>
          <w:szCs w:val="16"/>
          <w:color w:val="auto"/>
        </w:rPr>
      </w:pPr>
    </w:p>
    <w:p>
      <w:pPr>
        <w:ind w:left="900" w:right="100" w:hanging="325"/>
        <w:spacing w:after="0" w:line="302"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Changes to Bonus Pool. </w:t>
      </w:r>
      <w:r>
        <w:rPr>
          <w:rFonts w:ascii="Arial" w:cs="Arial" w:eastAsia="Arial" w:hAnsi="Arial"/>
          <w:sz w:val="15"/>
          <w:szCs w:val="15"/>
          <w:color w:val="auto"/>
        </w:rPr>
        <w:t>For each Company-wide financial performance criterion, the amount of bonus pool funding decreases by between 7% and</w:t>
      </w:r>
      <w:r>
        <w:rPr>
          <w:rFonts w:ascii="Arial" w:cs="Arial" w:eastAsia="Arial" w:hAnsi="Arial"/>
          <w:sz w:val="15"/>
          <w:szCs w:val="15"/>
          <w:i w:val="1"/>
          <w:iCs w:val="1"/>
          <w:color w:val="auto"/>
        </w:rPr>
        <w:t xml:space="preserve"> </w:t>
      </w:r>
      <w:r>
        <w:rPr>
          <w:rFonts w:ascii="Arial" w:cs="Arial" w:eastAsia="Arial" w:hAnsi="Arial"/>
          <w:sz w:val="15"/>
          <w:szCs w:val="15"/>
          <w:color w:val="auto"/>
        </w:rPr>
        <w:t>8%, for each 1% by which we miss our target (and there will be no bonus pool funding in respect of the revenues target or the Adjusted EBIT target, as applicable, if we do not attain at least 90% of the given performance criterion). For each additional 1% by which we exceed our revenues target, the bonus pool funding in respect of that criterion increases by 13% (with a maximum of 200% funding for that criterion if we equal or exceed</w:t>
      </w:r>
    </w:p>
    <w:p>
      <w:pPr>
        <w:spacing w:after="0" w:line="2" w:lineRule="exact"/>
        <w:rPr>
          <w:rFonts w:ascii="Arial" w:cs="Arial" w:eastAsia="Arial" w:hAnsi="Arial"/>
          <w:sz w:val="15"/>
          <w:szCs w:val="15"/>
          <w:color w:val="auto"/>
        </w:rPr>
      </w:pPr>
    </w:p>
    <w:p>
      <w:pPr>
        <w:ind w:left="900" w:right="400"/>
        <w:spacing w:after="0" w:line="255" w:lineRule="auto"/>
        <w:rPr>
          <w:rFonts w:ascii="Arial" w:cs="Arial" w:eastAsia="Arial" w:hAnsi="Arial"/>
          <w:sz w:val="15"/>
          <w:szCs w:val="15"/>
          <w:color w:val="auto"/>
        </w:rPr>
      </w:pPr>
      <w:r>
        <w:rPr>
          <w:rFonts w:ascii="Arial" w:cs="Arial" w:eastAsia="Arial" w:hAnsi="Arial"/>
          <w:sz w:val="18"/>
          <w:szCs w:val="18"/>
          <w:color w:val="auto"/>
        </w:rPr>
        <w:t>107.5% of the revenues target). For each additional 1% by which we exceed our Adjusted EBIT target, the bonus pool funding in respect of that criterion increases on an increasing scale of 5% to 9% (with a maximum of 200% funding for that criterion if we equal or exceed 115% of the Adjusted EBIT target).</w:t>
      </w:r>
    </w:p>
    <w:p>
      <w:pPr>
        <w:spacing w:after="0" w:line="63" w:lineRule="exact"/>
        <w:rPr>
          <w:rFonts w:ascii="Arial" w:cs="Arial" w:eastAsia="Arial" w:hAnsi="Arial"/>
          <w:sz w:val="15"/>
          <w:szCs w:val="15"/>
          <w:color w:val="auto"/>
        </w:rPr>
      </w:pPr>
    </w:p>
    <w:p>
      <w:pPr>
        <w:ind w:left="900" w:hanging="325"/>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Individual performance measures. </w:t>
      </w:r>
      <w:r>
        <w:rPr>
          <w:rFonts w:ascii="Arial" w:cs="Arial" w:eastAsia="Arial" w:hAnsi="Arial"/>
          <w:sz w:val="16"/>
          <w:szCs w:val="16"/>
          <w:color w:val="auto"/>
        </w:rPr>
        <w:t>These goals are designed to balance the attention of our named executive officers between the achievement of near</w:t>
      </w:r>
      <w:r>
        <w:rPr>
          <w:rFonts w:ascii="Arial" w:cs="Arial" w:eastAsia="Arial" w:hAnsi="Arial"/>
          <w:sz w:val="16"/>
          <w:szCs w:val="16"/>
          <w:i w:val="1"/>
          <w:iCs w:val="1"/>
          <w:color w:val="auto"/>
        </w:rPr>
        <w:t xml:space="preserve"> </w:t>
      </w:r>
      <w:r>
        <w:rPr>
          <w:rFonts w:ascii="Arial" w:cs="Arial" w:eastAsia="Arial" w:hAnsi="Arial"/>
          <w:sz w:val="16"/>
          <w:szCs w:val="16"/>
          <w:color w:val="auto"/>
        </w:rPr>
        <w:t>term objectives that improve specific processes or performance metrics and long-term objectives for us. While some of the goals are subjective, certain other goals, such as client and employee satisfaction metrics, are capable of objective measurement.</w:t>
      </w:r>
    </w:p>
    <w:p>
      <w:pPr>
        <w:spacing w:after="0" w:line="26" w:lineRule="exact"/>
        <w:rPr>
          <w:sz w:val="20"/>
          <w:szCs w:val="20"/>
          <w:color w:val="auto"/>
        </w:rPr>
      </w:pPr>
    </w:p>
    <w:p>
      <w:pPr>
        <w:ind w:left="920" w:right="360"/>
        <w:spacing w:after="0" w:line="256" w:lineRule="auto"/>
        <w:rPr>
          <w:sz w:val="20"/>
          <w:szCs w:val="20"/>
          <w:color w:val="auto"/>
        </w:rPr>
      </w:pPr>
      <w:r>
        <w:rPr>
          <w:rFonts w:ascii="Arial" w:cs="Arial" w:eastAsia="Arial" w:hAnsi="Arial"/>
          <w:sz w:val="18"/>
          <w:szCs w:val="18"/>
          <w:color w:val="auto"/>
        </w:rPr>
        <w:t>For Messrs. Talwar and Kapoor, the 40% of target bonus dependent on individual performance is based significantly on the following individual performance measures: development of new and strategic capabilities, advancement of strategic objectives and strengthening of our business development capabilities. In addition, Mr. Talwar is evaluated on his board leadership accomplishments while Mr. Kapoor is evaluated on his organizational leadership and operational accomplishments.</w:t>
      </w:r>
    </w:p>
    <w:p>
      <w:pPr>
        <w:spacing w:after="0" w:line="62" w:lineRule="exact"/>
        <w:rPr>
          <w:sz w:val="20"/>
          <w:szCs w:val="20"/>
          <w:color w:val="auto"/>
        </w:rPr>
      </w:pPr>
    </w:p>
    <w:p>
      <w:pPr>
        <w:ind w:left="920" w:right="580"/>
        <w:spacing w:after="0" w:line="268" w:lineRule="auto"/>
        <w:rPr>
          <w:sz w:val="20"/>
          <w:szCs w:val="20"/>
          <w:color w:val="auto"/>
        </w:rPr>
      </w:pPr>
      <w:r>
        <w:rPr>
          <w:rFonts w:ascii="Arial" w:cs="Arial" w:eastAsia="Arial" w:hAnsi="Arial"/>
          <w:sz w:val="18"/>
          <w:szCs w:val="18"/>
          <w:color w:val="auto"/>
        </w:rPr>
        <w:t>For Mr. Chhibbar, the 40% of target bonus dependent on individual performance is based on the following performance measures: regulatory compliance, acquisition oversight and finance department growth and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260"/>
        <w:spacing w:after="0" w:line="259" w:lineRule="auto"/>
        <w:rPr>
          <w:sz w:val="20"/>
          <w:szCs w:val="20"/>
          <w:color w:val="auto"/>
        </w:rPr>
      </w:pPr>
      <w:r>
        <w:rPr>
          <w:rFonts w:ascii="Arial" w:cs="Arial" w:eastAsia="Arial" w:hAnsi="Arial"/>
          <w:sz w:val="18"/>
          <w:szCs w:val="18"/>
          <w:color w:val="auto"/>
        </w:rPr>
        <w:t>For Mr. Bagai, the 40% of target bonus dependent on individual performance is based on the following performance measures: client satisfaction, customer acquisition, improvement and innovation of client relationships, achievement of certain employee satisfaction and attrition metrics and execution of strategic initiatives.</w:t>
      </w:r>
    </w:p>
    <w:p>
      <w:pPr>
        <w:spacing w:after="0" w:line="59"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For Mr. de Villa, the 40% of target bonus dependent on individual performance is based on the following performance measures: client satisfaction, practice economics, innovation of client relationships, employee management, achievement of certain employee satisfaction and attrition metrics and execution of strategic initiatives and operational control.</w:t>
      </w:r>
    </w:p>
    <w:p>
      <w:pPr>
        <w:spacing w:after="0" w:line="140"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In 2009, payouts could have ranged from zero to 200% of target depending on individual performance as described above under “Our Compensation Committee’s Processes.”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establishing each of Mr. Talwar’s and Mr. Kapoor’s cash incentive bonuses for 2009, our Compensation Committee applied the principles described above under “Our Compensation Committee’s Processes.” Our Nominating and Governance Committee assessed each of our founder executive officer’s performance for 2009. They considered each founder executive officer’s accomplishment of objectives that had been established at the beginning of the year and our Nominating and Governance Committee’s own assessment of their performances, including against the pre-established goals. They noted that under the leadership of our founder executive officers, in 2009, we achieved revenues of $191 million, which represented 92% of our revenues target, and Adjusted EBIT of $26 million, which represented 119% of our Adjusted EBIT target. As a result of our not achieving the predetermined revenues target, that portion of the bonus pool funding in respect of revenues was reduced to 40%, while 200% of the bonus pool was funded for achievement of 119.0% of the predetermined Adjusted EBIT target.</w:t>
      </w:r>
    </w:p>
    <w:p>
      <w:pPr>
        <w:spacing w:after="0" w:line="118"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Our Compensation Committee awarded cash incentive bonuses of $393,246 and $414,414 to Mr. Talwar and Mr. Kapoor, respectively. Our Compensation Committee felt that our financial performance was commendable when considered in the context of the overall business environment in which we found ourselves operating in 2009. Our Compensation Committee also felt that Mr. Talwar’s and Mr. Kapoor’s performance as measured against their primary individual goals directly contributed to our overall financial performance. Our Compensation Committee noted the following individual performance goals when reaching this conclusion: for Mr. Talwar, his contributions in the areas of board leadership and the development of new business capabilities, and for Mr. Kapoor, his contributions in the areas of management leadership and development of operations, strategic and other organization capabilities. In the case of</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Messrs. Talwar and Mr. Kapoor, 30% of the annual cash bonus was based on our performance against the revenues target (earned at 40% of target as described above) and 30% of the annual cash bonus was based on our performance against the Adjusted EBIT target (earned at 200% of target as described above). The remainder of the annual cash bonus was based on our Compensation Committee’s evaluation of the named executive officer’s performance against their respective individual performance measures. As a result, the total bonus for Messrs. Talwar and Kapoor was 124.84% and 131.56%, respectively, of each named executive officer’s target annual bonus.</w:t>
      </w:r>
    </w:p>
    <w:p>
      <w:pPr>
        <w:spacing w:after="0" w:line="14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Chief Executive Officer made recommendations for our other named executive officers employed by us at the end of 2009 and our Compensation Committee approved the recommendations after reviewing similar considerations for such named executive officers.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case of Mr. Chhibbar, 30% of the annual cash bonus was based on our performance against the revenues target (earned at 40% of target as described above) and 30% of the annual cash bonus was based on our performance against the Adjusted EBIT target (earned at 200% of target as described above). The remainder of the annual cash bonus was based on our Compensation Committee’s evaluation of Mr. Chhibbar’s performance against his individual performance measures. Our Compensation Committee noted Mr. Chhibbar’s role in strengthening the finance department, collaborating with business operating leadership, contribution to the executive leadership team’s strategic planning process and effectively engaging with investors and the broader investment community. As a result, the total bonus for Mr. Chhibbar, which reflected the number of days that Mr. Chhibbar was employed with us in 2009, was 138.4% of his target annual bonus for such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In the case of Mr. Bagai, 30% of the annual cash bonus was based on our performance against the revenues target (earned at 40% of target as described above), 30% of the annual cash bonus was based on our performance against the Adjusted EBIT target (earned at 200% of target as described above), and the remainder of the annual cash bonus was based on our Compensation Committee’s evaluation of his performance against his individual performance measures. Our Compensation Committee recognized and gave weight to Mr. Bagai’s individual goal achievements, including his leadership of our operations and the superior business and financial performance of the outsourcing service line, contributing to the executive leadership team’s strategic planning process, contributing to increased employee and client satisfaction and attrition management. As a result, the total annual bonus for Mr. Bagai was 138.4% of his target annual bonus.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case of Mr. de Villa, 15% of the annual cash bonus was based on our performance against the revenues target (earned at 40% of target as described above), 15% of the annual cash bonus was based on our performance against the Adjusted EBIT target (earned at 200% of target as described above), 15% was based on the revenues of our transformation business (which portion was earned at 0% of target based on 2009 performance), 15% was based on the gross margin percentage of our transformation business (which portion was earned at 0% of target based on 2009 performance), and the remainder of the annual cash bonus was based on our Compensation Committee’s evaluation of his performance against his individual performance measures. Our transformation business achieved revenues of $38 million and a gross margin percentage of 32%. Our Compensation Committee recognized and gave weight to Mr. de Villa’s individual performance goal achievements, including leadership of the transformation business. As a result, the total bonus for Mr. de Villa was 88% of his target bonus for 2009.</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paid Mr. Appel a bonus of $31,000 on May 21, 2009 based on the Compensation Committee’s determination that he had achieved his personal performance goals, which included leadership in managing our taxation and currency risk exposure, enhancing the capabilities of our finance organization and transitioning his responsibilities to his successor.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Bonuses were paid to our named executive officers in March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bonus paid to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9"/>
              </w:rPr>
              <w:t>Bonus ($)</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393,246</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tcPr>
          <w:p>
            <w:pPr>
              <w:jc w:val="right"/>
              <w:spacing w:after="0"/>
              <w:rPr>
                <w:sz w:val="20"/>
                <w:szCs w:val="20"/>
                <w:color w:val="auto"/>
              </w:rPr>
            </w:pPr>
            <w:r>
              <w:rPr>
                <w:rFonts w:ascii="Arial" w:cs="Arial" w:eastAsia="Arial" w:hAnsi="Arial"/>
                <w:sz w:val="18"/>
                <w:szCs w:val="18"/>
                <w:color w:val="auto"/>
              </w:rPr>
              <w:t>414,414</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119,287</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Matthew Appel</w:t>
            </w:r>
          </w:p>
        </w:tc>
        <w:tc>
          <w:tcPr>
            <w:tcW w:w="780" w:type="dxa"/>
            <w:vAlign w:val="bottom"/>
          </w:tcPr>
          <w:p>
            <w:pPr>
              <w:jc w:val="right"/>
              <w:spacing w:after="0"/>
              <w:rPr>
                <w:sz w:val="20"/>
                <w:szCs w:val="20"/>
                <w:color w:val="auto"/>
              </w:rPr>
            </w:pPr>
            <w:r>
              <w:rPr>
                <w:rFonts w:ascii="Arial" w:cs="Arial" w:eastAsia="Arial" w:hAnsi="Arial"/>
                <w:sz w:val="18"/>
                <w:szCs w:val="18"/>
                <w:color w:val="auto"/>
              </w:rPr>
              <w:t>31,000</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195,377</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780" w:type="dxa"/>
            <w:vAlign w:val="bottom"/>
          </w:tcPr>
          <w:p>
            <w:pPr>
              <w:jc w:val="right"/>
              <w:spacing w:after="0"/>
              <w:rPr>
                <w:sz w:val="20"/>
                <w:szCs w:val="20"/>
                <w:color w:val="auto"/>
              </w:rPr>
            </w:pPr>
            <w:r>
              <w:rPr>
                <w:rFonts w:ascii="Arial" w:cs="Arial" w:eastAsia="Arial" w:hAnsi="Arial"/>
                <w:sz w:val="18"/>
                <w:szCs w:val="18"/>
                <w:color w:val="auto"/>
              </w:rPr>
              <w:t>215,600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Chhibbar also received a one-time signing bonus equal to $26,864.</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provide the opportunity for our named executive officers and other executives to earn a long-term equity incentive award. Long-term incentive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stockholder value. We review long-term equity incentives for our named executive officers and other executives periodically and generally make grants to our founder executive officers as well as to other executives, including our executive officers, for whom grants are recommended by our chief executive officer, at one or more pre-scheduled meetings of our Compensation Committee in and around the first quarter of each year.</w:t>
      </w:r>
    </w:p>
    <w:p>
      <w:pPr>
        <w:spacing w:after="0" w:line="10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In 2009, we used one type of equity incentive for our named executive officers: stock options, which are granted under our 2006 Omnibus Award Plan, which we refer to as our 2006 Plan. On January 29, 2009, our shareholders approved an amendment to our 2006 Plan increasing the overall share pool by 4,000,000 shares to 7,729,238 shares. We increased the share pool to make sure we would have enough shares for awards under the 2006 Plan in coming years.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Incentives—Stock Options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 options align employee incentives with stockholders because options have value only if the stock price increases over time. In this sense, stock options are a motivational tool. Our ten-year options under our 2006 Plan are granted at the average of the high and low price on the trading day immediately prior to the date of grant. Stock options granted under our 2006 Plan generally vest over a four 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date—what we call “Standard Graded Vesting.” Our Compensation Committee has, on occasion, altered the vesting cycle based on unique circumstances associated with a particular grant. For example, such occasions have arisen where there has been a delay in the finalization of an employee’s employment agreement or where we determined that it was appropriate to credit an employee for service performed by such executive prior to our Compensation Committee’s approval of such grant. The four year vesting period helps focus employees on long-term growth and helps to retain key employees. Our 2006 Plan prohibits the repricing of stock options under our 2006 Plan without the approval of our stockholders.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Our Compensation Committee considered the following when making 2009 option grants to all employee recipients, including our executive officers:</w:t>
      </w:r>
    </w:p>
    <w:p>
      <w:pPr>
        <w:spacing w:after="0" w:line="113" w:lineRule="exact"/>
        <w:rPr>
          <w:sz w:val="20"/>
          <w:szCs w:val="20"/>
          <w:color w:val="auto"/>
        </w:rPr>
      </w:pPr>
    </w:p>
    <w:p>
      <w:pPr>
        <w:ind w:left="900" w:right="42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Grant size. </w:t>
      </w:r>
      <w:r>
        <w:rPr>
          <w:rFonts w:ascii="Arial" w:cs="Arial" w:eastAsia="Arial" w:hAnsi="Arial"/>
          <w:sz w:val="18"/>
          <w:szCs w:val="18"/>
          <w:color w:val="auto"/>
        </w:rPr>
        <w:t>In determining the number of options to be granted to senior executive officers, our Compensation Committee took into account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position, scope of managerial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62" w:lineRule="exact"/>
        <w:rPr>
          <w:rFonts w:ascii="Arial" w:cs="Arial" w:eastAsia="Arial" w:hAnsi="Arial"/>
          <w:sz w:val="18"/>
          <w:szCs w:val="18"/>
          <w:color w:val="auto"/>
        </w:rPr>
      </w:pPr>
    </w:p>
    <w:p>
      <w:pPr>
        <w:ind w:left="900" w:hanging="325"/>
        <w:spacing w:after="0" w:line="28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Grant Timing and Price. </w:t>
      </w:r>
      <w:r>
        <w:rPr>
          <w:rFonts w:ascii="Arial" w:cs="Arial" w:eastAsia="Arial" w:hAnsi="Arial"/>
          <w:sz w:val="16"/>
          <w:szCs w:val="16"/>
          <w:color w:val="auto"/>
        </w:rPr>
        <w:t>Our Compensation Committee’s procedure for the timing of equity grants (stock options, restricted stock or any other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equity award permitted under our 2006 Plan) ensures that grant timing is not being manipulated to result in a price that is favorable to employees. The annual equity grant date for all eligible employees, including executive officers, is generally in and around the first quarter of each year (depending on when our Compensation Committee holds its pre-scheduled meeting or meetings discussed above). The grant date timing coincides with our calendar-year-based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Exceptions to the annual equity grant date occur periodically for matters such as new hires of executive officers. The primary annual grant date is established by our Compensation Committee well in advance—typically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February 2009, we took into account the loss of value of outstanding equity awards, and we awarded a one-time grant of stock options to each of our named executive officers and certain other senior employees to serve as a retention and motivational tool. The stock options had Standard Graded Vesting. Our Compensation Committee reviewed similar considerations for our founder executive officers.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Compensation Committee granted each founder executive officer a stock option grant of 196,400 shares of our common stock (46,400 shares of each represented the one-time grants described above) with a per-share exercise price of $8.75, 25% of which vested on February 10, 2010 and the remainder of which will vest in additional 25% increments on each of February 10, 2011, February 10, 2012, and February 10, 2013. Each of Messrs. Bagai and de Villa received a one-time stock option grant of 25,000 shares, Mr. Bagai received an annual individual stock option grant in respect of 30,000 shares and Mr. de Villa received an annual individual stock option grant in respect of 25,000 shares, all with a per-share exercise price of $8.75 and Standard Graded Vesting.</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Grants for new hires are generally made at the next scheduled Compensation Committee meeting after the joining date of such hire. In connection with the entry into an employment agreement with Mr. Chhibbar in May 2009, we granted Mr. Chhibbar a stock option grant of 100,000 shares of our common stock, with a per-share exercise price of $9.59 and Standard Graded Vesting.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Incentives—Restricted Stock</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Restricted stock awards offer executives the opportunity to receive shares of our common stock on the date that the restriction lapses and serve both to reward and retain executives since the value of the restricted stock awards is linked to the price of our stock on the date that the restriction lapses. In addition, restricted stock awards are potentially less dilutive to stockholders’ equity since restricted stock awards are full value awards, and our Compensation Committee can award fewer restricted stock awards than an equivalent value of stock options. As with stock options, restricted stock awards provide a significant degree of alignment of interests between our executive officers and stockholders. Restricted stock awards have only been issued under our 2006 Plan.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grant restricted stock awards to our named executive officers in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equity granted to each of our named executive officers in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Stock Options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020" w:type="dxa"/>
            <w:vAlign w:val="bottom"/>
          </w:tcPr>
          <w:p>
            <w:pPr>
              <w:jc w:val="right"/>
              <w:spacing w:after="0"/>
              <w:rPr>
                <w:sz w:val="20"/>
                <w:szCs w:val="20"/>
                <w:color w:val="auto"/>
              </w:rPr>
            </w:pPr>
            <w:r>
              <w:rPr>
                <w:rFonts w:ascii="Arial" w:cs="Arial" w:eastAsia="Arial" w:hAnsi="Arial"/>
                <w:sz w:val="18"/>
                <w:szCs w:val="18"/>
                <w:color w:val="auto"/>
              </w:rPr>
              <w:t>196,400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Matthew Appel</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our global work 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benefits available for all U.S. employees and executive officers include customary medical and dental coverage, disability insurance and life insurance. In addition, our 401(k) Plan provides a reasonable level of retirement income reflecting employees’ careers with us. A number of our U.S. employees, including executive officers, participate in these plans.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employee benefits is partially borne by our employees, including our executive officers.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do not provide significant perquisites or personal benefits to executive officers other than our founder executive officers. Each founder executive officer is provided a limited number of perquisites whose primary purpose is to minimize distractions from his attention to our important initiatives and to be competitive. A discussion of the benefits provided to the founder executive officers is provided under “Employment Agreements” on page 27.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Benefits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currently employed by us is provided under “Potential Payments Upon Termination or Change in Control” on page 31.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provided change in 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 Therefore senior executive officers generally are paid severance for a longer period:</w:t>
      </w:r>
    </w:p>
    <w:p>
      <w:pPr>
        <w:spacing w:after="0" w:line="59" w:lineRule="exact"/>
        <w:rPr>
          <w:sz w:val="20"/>
          <w:szCs w:val="20"/>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Accelerated vesting of equity awards. </w:t>
      </w:r>
      <w:r>
        <w:rPr>
          <w:rFonts w:ascii="Arial" w:cs="Arial" w:eastAsia="Arial" w:hAnsi="Arial"/>
          <w:sz w:val="18"/>
          <w:szCs w:val="18"/>
          <w:color w:val="auto"/>
        </w:rPr>
        <w:t>All executive officers receive an advancement of vesting by one year of all unvested equity awards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termination of employment.</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Covered terminations. </w:t>
      </w:r>
      <w:r>
        <w:rPr>
          <w:rFonts w:ascii="Arial" w:cs="Arial" w:eastAsia="Arial" w:hAnsi="Arial"/>
          <w:sz w:val="18"/>
          <w:szCs w:val="18"/>
          <w:color w:val="auto"/>
        </w:rPr>
        <w:t>Eligible executive officers are eligible for payments if, within one year of the change in control, their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 without cause by us or (ii) for good reason by the executive officer.</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Eligible terminated executive officers receive severance payments reflecting the expected duration for such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find new employment.</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Eligible terminated executive officers receive basic employee benefits such as health and life insurance for up to eighteen</w:t>
      </w:r>
      <w:r>
        <w:rPr>
          <w:rFonts w:ascii="Arial" w:cs="Arial" w:eastAsia="Arial" w:hAnsi="Arial"/>
          <w:sz w:val="18"/>
          <w:szCs w:val="18"/>
          <w:i w:val="1"/>
          <w:iCs w:val="1"/>
          <w:color w:val="auto"/>
        </w:rPr>
        <w:t xml:space="preserve"> </w:t>
      </w:r>
      <w:r>
        <w:rPr>
          <w:rFonts w:ascii="Arial" w:cs="Arial" w:eastAsia="Arial" w:hAnsi="Arial"/>
          <w:sz w:val="18"/>
          <w:szCs w:val="18"/>
          <w:color w:val="auto"/>
        </w:rPr>
        <w:t>months following termination of employment.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60" w:firstLine="456"/>
        <w:spacing w:after="0" w:line="256"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2010 Annual Meeting of Stockholders.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Steven B. Gruber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Garen K. Staglin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Kiran Karnik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years 2007, 2008 and 2009 by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and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Non-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equity</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qualified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Incentive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All</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22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Compen-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sation</w:t>
            </w:r>
          </w:p>
        </w:tc>
        <w:tc>
          <w:tcPr>
            <w:tcW w:w="22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Compen-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Salary</w:t>
            </w:r>
          </w:p>
        </w:tc>
        <w:tc>
          <w:tcPr>
            <w:tcW w:w="4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Bonus</w:t>
            </w:r>
          </w:p>
        </w:tc>
        <w:tc>
          <w:tcPr>
            <w:tcW w:w="22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2"/>
              </w:rPr>
              <w:t>sation</w:t>
            </w: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w:t>
            </w:r>
          </w:p>
        </w:tc>
        <w:tc>
          <w:tcPr>
            <w:tcW w:w="220" w:type="dxa"/>
            <w:vAlign w:val="bottom"/>
          </w:tcPr>
          <w:p>
            <w:pPr>
              <w:spacing w:after="0"/>
              <w:rPr>
                <w:sz w:val="11"/>
                <w:szCs w:val="11"/>
                <w:color w:val="auto"/>
              </w:rPr>
            </w:pPr>
          </w:p>
        </w:tc>
        <w:tc>
          <w:tcPr>
            <w:tcW w:w="10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2"/>
              </w:rPr>
              <w:t>sation</w:t>
            </w:r>
          </w:p>
        </w:tc>
        <w:tc>
          <w:tcPr>
            <w:tcW w:w="5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 Position</w:t>
            </w:r>
          </w:p>
        </w:tc>
        <w:tc>
          <w:tcPr>
            <w:tcW w:w="1580" w:type="dxa"/>
            <w:vAlign w:val="bottom"/>
            <w:gridSpan w:val="3"/>
          </w:tcPr>
          <w:p>
            <w:pPr>
              <w:jc w:val="center"/>
              <w:ind w:left="832"/>
              <w:spacing w:after="0" w:line="149" w:lineRule="exact"/>
              <w:rPr>
                <w:sz w:val="20"/>
                <w:szCs w:val="20"/>
                <w:color w:val="auto"/>
              </w:rPr>
            </w:pPr>
            <w:r>
              <w:rPr>
                <w:rFonts w:ascii="Arial" w:cs="Arial" w:eastAsia="Arial" w:hAnsi="Arial"/>
                <w:sz w:val="14"/>
                <w:szCs w:val="14"/>
                <w:b w:val="1"/>
                <w:bCs w:val="1"/>
                <w:color w:val="auto"/>
                <w:w w:val="92"/>
              </w:rPr>
              <w:t>Year</w:t>
            </w:r>
          </w:p>
        </w:tc>
        <w:tc>
          <w:tcPr>
            <w:tcW w:w="4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2"/>
                <w:szCs w:val="12"/>
                <w:color w:val="auto"/>
              </w:rPr>
            </w:pPr>
          </w:p>
        </w:tc>
        <w:tc>
          <w:tcPr>
            <w:tcW w:w="6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w:t>
            </w:r>
          </w:p>
        </w:tc>
        <w:tc>
          <w:tcPr>
            <w:tcW w:w="2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200" w:type="dxa"/>
            <w:vAlign w:val="bottom"/>
          </w:tcPr>
          <w:p>
            <w:pPr>
              <w:spacing w:after="0"/>
              <w:rPr>
                <w:sz w:val="14"/>
                <w:szCs w:val="14"/>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w:t>
            </w:r>
          </w:p>
        </w:tc>
        <w:tc>
          <w:tcPr>
            <w:tcW w:w="420" w:type="dxa"/>
            <w:vAlign w:val="bottom"/>
          </w:tcPr>
          <w:p>
            <w:pPr>
              <w:spacing w:after="0"/>
              <w:rPr>
                <w:sz w:val="14"/>
                <w:szCs w:val="14"/>
                <w:color w:val="auto"/>
              </w:rPr>
            </w:pP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 (6)</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 (7)</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4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Vikram Talwar</w:t>
            </w:r>
          </w:p>
        </w:tc>
        <w:tc>
          <w:tcPr>
            <w:tcW w:w="1580" w:type="dxa"/>
            <w:vAlign w:val="bottom"/>
            <w:gridSpan w:val="3"/>
            <w:shd w:val="clear" w:color="auto" w:fill="CCEEFF"/>
          </w:tcPr>
          <w:p>
            <w:pPr>
              <w:jc w:val="center"/>
              <w:ind w:left="832"/>
              <w:spacing w:after="0" w:line="138" w:lineRule="exact"/>
              <w:rPr>
                <w:sz w:val="20"/>
                <w:szCs w:val="20"/>
                <w:color w:val="auto"/>
              </w:rPr>
            </w:pPr>
            <w:r>
              <w:rPr>
                <w:rFonts w:ascii="Arial" w:cs="Arial" w:eastAsia="Arial" w:hAnsi="Arial"/>
                <w:sz w:val="14"/>
                <w:szCs w:val="14"/>
                <w:color w:val="auto"/>
                <w:w w:val="89"/>
              </w:rPr>
              <w:t>2009</w:t>
            </w:r>
          </w:p>
        </w:tc>
        <w:tc>
          <w:tcPr>
            <w:tcW w:w="8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420,000</w:t>
            </w:r>
          </w:p>
        </w:tc>
        <w:tc>
          <w:tcPr>
            <w:tcW w:w="4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863,032</w:t>
            </w:r>
          </w:p>
        </w:tc>
        <w:tc>
          <w:tcPr>
            <w:tcW w:w="9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393,246</w:t>
            </w:r>
          </w:p>
        </w:tc>
        <w:tc>
          <w:tcPr>
            <w:tcW w:w="6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169,860(8)</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1,846,138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Chairman</w:t>
            </w:r>
          </w:p>
        </w:tc>
        <w:tc>
          <w:tcPr>
            <w:tcW w:w="158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9"/>
              </w:rPr>
              <w:t>2008</w:t>
            </w:r>
          </w:p>
        </w:tc>
        <w:tc>
          <w:tcPr>
            <w:tcW w:w="8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420,000</w:t>
            </w:r>
          </w:p>
        </w:tc>
        <w:tc>
          <w:tcPr>
            <w:tcW w:w="4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1,090,345</w:t>
            </w:r>
          </w:p>
        </w:tc>
        <w:tc>
          <w:tcPr>
            <w:tcW w:w="9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237,510</w:t>
            </w:r>
          </w:p>
        </w:tc>
        <w:tc>
          <w:tcPr>
            <w:tcW w:w="6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132,075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1,879,930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center"/>
              <w:ind w:left="832"/>
              <w:spacing w:after="0"/>
              <w:rPr>
                <w:sz w:val="20"/>
                <w:szCs w:val="20"/>
                <w:color w:val="auto"/>
              </w:rPr>
            </w:pPr>
            <w:r>
              <w:rPr>
                <w:rFonts w:ascii="Arial" w:cs="Arial" w:eastAsia="Arial" w:hAnsi="Arial"/>
                <w:sz w:val="14"/>
                <w:szCs w:val="14"/>
                <w:color w:val="auto"/>
                <w:w w:val="89"/>
              </w:rPr>
              <w:t>2007</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416,667</w:t>
            </w:r>
          </w:p>
        </w:tc>
        <w:tc>
          <w:tcPr>
            <w:tcW w:w="4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1,778,250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306,369</w:t>
            </w:r>
          </w:p>
        </w:tc>
        <w:tc>
          <w:tcPr>
            <w:tcW w:w="60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235,762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2,737,048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Rohit Kapoor</w:t>
            </w:r>
          </w:p>
        </w:tc>
        <w:tc>
          <w:tcPr>
            <w:tcW w:w="1580" w:type="dxa"/>
            <w:vAlign w:val="bottom"/>
            <w:gridSpan w:val="3"/>
          </w:tcPr>
          <w:p>
            <w:pPr>
              <w:jc w:val="center"/>
              <w:ind w:left="832"/>
              <w:spacing w:after="0" w:line="138" w:lineRule="exact"/>
              <w:rPr>
                <w:sz w:val="20"/>
                <w:szCs w:val="20"/>
                <w:color w:val="auto"/>
              </w:rPr>
            </w:pPr>
            <w:r>
              <w:rPr>
                <w:rFonts w:ascii="Arial" w:cs="Arial" w:eastAsia="Arial" w:hAnsi="Arial"/>
                <w:sz w:val="14"/>
                <w:szCs w:val="14"/>
                <w:color w:val="auto"/>
                <w:w w:val="89"/>
              </w:rPr>
              <w:t>2009</w:t>
            </w:r>
          </w:p>
        </w:tc>
        <w:tc>
          <w:tcPr>
            <w:tcW w:w="8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420,000</w:t>
            </w:r>
          </w:p>
        </w:tc>
        <w:tc>
          <w:tcPr>
            <w:tcW w:w="440" w:type="dxa"/>
            <w:vAlign w:val="bottom"/>
          </w:tcPr>
          <w:p>
            <w:pPr>
              <w:spacing w:after="0"/>
              <w:rPr>
                <w:sz w:val="11"/>
                <w:szCs w:val="11"/>
                <w:color w:val="auto"/>
              </w:rPr>
            </w:pPr>
          </w:p>
        </w:tc>
        <w:tc>
          <w:tcPr>
            <w:tcW w:w="8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863,032</w:t>
            </w:r>
          </w:p>
        </w:tc>
        <w:tc>
          <w:tcPr>
            <w:tcW w:w="96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414,414</w:t>
            </w:r>
          </w:p>
        </w:tc>
        <w:tc>
          <w:tcPr>
            <w:tcW w:w="600" w:type="dxa"/>
            <w:vAlign w:val="bottom"/>
          </w:tcPr>
          <w:p>
            <w:pPr>
              <w:spacing w:after="0"/>
              <w:rPr>
                <w:sz w:val="11"/>
                <w:szCs w:val="11"/>
                <w:color w:val="auto"/>
              </w:rPr>
            </w:pPr>
          </w:p>
        </w:tc>
        <w:tc>
          <w:tcPr>
            <w:tcW w:w="124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99,055(9)</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w w:val="83"/>
              </w:rPr>
              <w:t>1,796,501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gridSpan w:val="3"/>
          </w:tcPr>
          <w:p>
            <w:pPr>
              <w:spacing w:after="0" w:line="149" w:lineRule="exact"/>
              <w:rPr>
                <w:sz w:val="20"/>
                <w:szCs w:val="20"/>
                <w:color w:val="auto"/>
              </w:rPr>
            </w:pPr>
            <w:r>
              <w:rPr>
                <w:rFonts w:ascii="Arial" w:cs="Arial" w:eastAsia="Arial" w:hAnsi="Arial"/>
                <w:sz w:val="14"/>
                <w:szCs w:val="14"/>
                <w:color w:val="auto"/>
              </w:rPr>
              <w:t>President &amp; CEO</w:t>
            </w:r>
          </w:p>
        </w:tc>
        <w:tc>
          <w:tcPr>
            <w:tcW w:w="1580" w:type="dxa"/>
            <w:vAlign w:val="bottom"/>
            <w:gridSpan w:val="3"/>
          </w:tcPr>
          <w:p>
            <w:pPr>
              <w:jc w:val="center"/>
              <w:ind w:left="832"/>
              <w:spacing w:after="0" w:line="149" w:lineRule="exact"/>
              <w:rPr>
                <w:sz w:val="20"/>
                <w:szCs w:val="20"/>
                <w:color w:val="auto"/>
              </w:rPr>
            </w:pPr>
            <w:r>
              <w:rPr>
                <w:rFonts w:ascii="Arial" w:cs="Arial" w:eastAsia="Arial" w:hAnsi="Arial"/>
                <w:sz w:val="14"/>
                <w:szCs w:val="14"/>
                <w:color w:val="auto"/>
                <w:w w:val="89"/>
              </w:rPr>
              <w:t>2008</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420,000</w:t>
            </w:r>
          </w:p>
        </w:tc>
        <w:tc>
          <w:tcPr>
            <w:tcW w:w="44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1,090,345</w:t>
            </w: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244,125</w:t>
            </w:r>
          </w:p>
        </w:tc>
        <w:tc>
          <w:tcPr>
            <w:tcW w:w="600" w:type="dxa"/>
            <w:vAlign w:val="bottom"/>
          </w:tcPr>
          <w:p>
            <w:pPr>
              <w:spacing w:after="0"/>
              <w:rPr>
                <w:sz w:val="12"/>
                <w:szCs w:val="12"/>
                <w:color w:val="auto"/>
              </w:rPr>
            </w:pP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157,317</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1,911,787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80" w:type="dxa"/>
            <w:vAlign w:val="bottom"/>
            <w:gridSpan w:val="3"/>
          </w:tcPr>
          <w:p>
            <w:pPr>
              <w:jc w:val="center"/>
              <w:ind w:left="832"/>
              <w:spacing w:after="0"/>
              <w:rPr>
                <w:sz w:val="20"/>
                <w:szCs w:val="20"/>
                <w:color w:val="auto"/>
              </w:rPr>
            </w:pPr>
            <w:r>
              <w:rPr>
                <w:rFonts w:ascii="Arial" w:cs="Arial" w:eastAsia="Arial" w:hAnsi="Arial"/>
                <w:sz w:val="14"/>
                <w:szCs w:val="14"/>
                <w:color w:val="auto"/>
                <w:w w:val="89"/>
              </w:rPr>
              <w:t>2007</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416,667</w:t>
            </w:r>
          </w:p>
        </w:tc>
        <w:tc>
          <w:tcPr>
            <w:tcW w:w="44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1,778,250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306,369</w:t>
            </w:r>
          </w:p>
        </w:tc>
        <w:tc>
          <w:tcPr>
            <w:tcW w:w="600" w:type="dxa"/>
            <w:vAlign w:val="bottom"/>
          </w:tcPr>
          <w:p>
            <w:pPr>
              <w:spacing w:after="0"/>
              <w:rPr>
                <w:sz w:val="14"/>
                <w:szCs w:val="1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color w:val="auto"/>
              </w:rPr>
              <w:t>76,232</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2,577,518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Matthew Appel(3)</w:t>
            </w:r>
          </w:p>
        </w:tc>
        <w:tc>
          <w:tcPr>
            <w:tcW w:w="1580" w:type="dxa"/>
            <w:vAlign w:val="bottom"/>
            <w:gridSpan w:val="3"/>
            <w:shd w:val="clear" w:color="auto" w:fill="CCEEFF"/>
          </w:tcPr>
          <w:p>
            <w:pPr>
              <w:jc w:val="center"/>
              <w:ind w:left="832"/>
              <w:spacing w:after="0" w:line="139" w:lineRule="exact"/>
              <w:rPr>
                <w:sz w:val="20"/>
                <w:szCs w:val="20"/>
                <w:color w:val="auto"/>
              </w:rPr>
            </w:pPr>
            <w:r>
              <w:rPr>
                <w:rFonts w:ascii="Arial" w:cs="Arial" w:eastAsia="Arial" w:hAnsi="Arial"/>
                <w:sz w:val="14"/>
                <w:szCs w:val="14"/>
                <w:color w:val="auto"/>
                <w:w w:val="89"/>
              </w:rPr>
              <w:t>2009</w:t>
            </w:r>
          </w:p>
        </w:tc>
        <w:tc>
          <w:tcPr>
            <w:tcW w:w="8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140,625</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7"/>
              </w:rPr>
              <w:t>31,000</w:t>
            </w:r>
          </w:p>
        </w:tc>
        <w:tc>
          <w:tcPr>
            <w:tcW w:w="86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rPr>
              <w:t>0</w:t>
            </w:r>
          </w:p>
        </w:tc>
        <w:tc>
          <w:tcPr>
            <w:tcW w:w="6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480"/>
              <w:spacing w:after="0" w:line="139" w:lineRule="exact"/>
              <w:rPr>
                <w:sz w:val="20"/>
                <w:szCs w:val="20"/>
                <w:color w:val="auto"/>
              </w:rPr>
            </w:pPr>
            <w:r>
              <w:rPr>
                <w:rFonts w:ascii="Arial" w:cs="Arial" w:eastAsia="Arial" w:hAnsi="Arial"/>
                <w:sz w:val="14"/>
                <w:szCs w:val="14"/>
                <w:color w:val="auto"/>
              </w:rPr>
              <w:t>14,187</w:t>
            </w: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185,812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Financial Officer</w:t>
            </w:r>
          </w:p>
        </w:tc>
        <w:tc>
          <w:tcPr>
            <w:tcW w:w="158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9"/>
              </w:rPr>
              <w:t>2008</w:t>
            </w:r>
          </w:p>
        </w:tc>
        <w:tc>
          <w:tcPr>
            <w:tcW w:w="8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375,000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175,000</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169,087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6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12,983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732,069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center"/>
              <w:ind w:left="832"/>
              <w:spacing w:after="0"/>
              <w:rPr>
                <w:sz w:val="20"/>
                <w:szCs w:val="20"/>
                <w:color w:val="auto"/>
              </w:rPr>
            </w:pPr>
            <w:r>
              <w:rPr>
                <w:rFonts w:ascii="Arial" w:cs="Arial" w:eastAsia="Arial" w:hAnsi="Arial"/>
                <w:sz w:val="14"/>
                <w:szCs w:val="14"/>
                <w:color w:val="auto"/>
                <w:w w:val="89"/>
              </w:rPr>
              <w:t>2007</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312,500</w:t>
            </w:r>
          </w:p>
        </w:tc>
        <w:tc>
          <w:tcPr>
            <w:tcW w:w="4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409,700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1,304,353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216,375</w:t>
            </w:r>
          </w:p>
        </w:tc>
        <w:tc>
          <w:tcPr>
            <w:tcW w:w="60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78,044</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2,320,971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Chhibbar(4)</w:t>
            </w:r>
          </w:p>
        </w:tc>
        <w:tc>
          <w:tcPr>
            <w:tcW w:w="1580" w:type="dxa"/>
            <w:vAlign w:val="bottom"/>
            <w:gridSpan w:val="3"/>
          </w:tcPr>
          <w:p>
            <w:pPr>
              <w:jc w:val="center"/>
              <w:ind w:left="832"/>
              <w:spacing w:after="0" w:line="138" w:lineRule="exact"/>
              <w:rPr>
                <w:sz w:val="20"/>
                <w:szCs w:val="20"/>
                <w:color w:val="auto"/>
              </w:rPr>
            </w:pPr>
            <w:r>
              <w:rPr>
                <w:rFonts w:ascii="Arial" w:cs="Arial" w:eastAsia="Arial" w:hAnsi="Arial"/>
                <w:sz w:val="14"/>
                <w:szCs w:val="14"/>
                <w:color w:val="auto"/>
                <w:w w:val="89"/>
              </w:rPr>
              <w:t>2009</w:t>
            </w:r>
          </w:p>
        </w:tc>
        <w:tc>
          <w:tcPr>
            <w:tcW w:w="8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151,033(1)</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26,864</w:t>
            </w:r>
          </w:p>
        </w:tc>
        <w:tc>
          <w:tcPr>
            <w:tcW w:w="8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420,500</w:t>
            </w:r>
          </w:p>
        </w:tc>
        <w:tc>
          <w:tcPr>
            <w:tcW w:w="96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119,287</w:t>
            </w:r>
          </w:p>
        </w:tc>
        <w:tc>
          <w:tcPr>
            <w:tcW w:w="600" w:type="dxa"/>
            <w:vAlign w:val="bottom"/>
          </w:tcPr>
          <w:p>
            <w:pPr>
              <w:spacing w:after="0"/>
              <w:rPr>
                <w:sz w:val="11"/>
                <w:szCs w:val="11"/>
                <w:color w:val="auto"/>
              </w:rPr>
            </w:pPr>
          </w:p>
        </w:tc>
        <w:tc>
          <w:tcPr>
            <w:tcW w:w="124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94,187(10)</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811,871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gridSpan w:val="3"/>
          </w:tcPr>
          <w:p>
            <w:pPr>
              <w:spacing w:after="0" w:line="149" w:lineRule="exact"/>
              <w:rPr>
                <w:sz w:val="20"/>
                <w:szCs w:val="20"/>
                <w:color w:val="auto"/>
              </w:rPr>
            </w:pPr>
            <w:r>
              <w:rPr>
                <w:rFonts w:ascii="Arial" w:cs="Arial" w:eastAsia="Arial" w:hAnsi="Arial"/>
                <w:sz w:val="14"/>
                <w:szCs w:val="14"/>
                <w:color w:val="auto"/>
              </w:rPr>
              <w:t>Chief Financial Officer</w:t>
            </w:r>
          </w:p>
        </w:tc>
        <w:tc>
          <w:tcPr>
            <w:tcW w:w="1580" w:type="dxa"/>
            <w:vAlign w:val="bottom"/>
            <w:gridSpan w:val="3"/>
          </w:tcPr>
          <w:p>
            <w:pPr>
              <w:jc w:val="center"/>
              <w:ind w:left="832"/>
              <w:spacing w:after="0" w:line="149" w:lineRule="exact"/>
              <w:rPr>
                <w:sz w:val="20"/>
                <w:szCs w:val="20"/>
                <w:color w:val="auto"/>
              </w:rPr>
            </w:pPr>
            <w:r>
              <w:rPr>
                <w:rFonts w:ascii="Arial" w:cs="Arial" w:eastAsia="Arial" w:hAnsi="Arial"/>
                <w:sz w:val="14"/>
                <w:szCs w:val="14"/>
                <w:color w:val="auto"/>
                <w:w w:val="89"/>
              </w:rPr>
              <w:t>2008</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80" w:type="dxa"/>
            <w:vAlign w:val="bottom"/>
            <w:gridSpan w:val="3"/>
          </w:tcPr>
          <w:p>
            <w:pPr>
              <w:jc w:val="center"/>
              <w:ind w:left="832"/>
              <w:spacing w:after="0" w:line="159" w:lineRule="exact"/>
              <w:rPr>
                <w:sz w:val="20"/>
                <w:szCs w:val="20"/>
                <w:color w:val="auto"/>
              </w:rPr>
            </w:pPr>
            <w:r>
              <w:rPr>
                <w:rFonts w:ascii="Arial" w:cs="Arial" w:eastAsia="Arial" w:hAnsi="Arial"/>
                <w:sz w:val="14"/>
                <w:szCs w:val="14"/>
                <w:color w:val="auto"/>
                <w:w w:val="89"/>
              </w:rPr>
              <w:t>2007</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Pavan Bagai</w:t>
            </w:r>
          </w:p>
        </w:tc>
        <w:tc>
          <w:tcPr>
            <w:tcW w:w="1580" w:type="dxa"/>
            <w:vAlign w:val="bottom"/>
            <w:gridSpan w:val="3"/>
            <w:shd w:val="clear" w:color="auto" w:fill="CCEEFF"/>
          </w:tcPr>
          <w:p>
            <w:pPr>
              <w:jc w:val="center"/>
              <w:ind w:left="832"/>
              <w:spacing w:after="0" w:line="138" w:lineRule="exact"/>
              <w:rPr>
                <w:sz w:val="20"/>
                <w:szCs w:val="20"/>
                <w:color w:val="auto"/>
              </w:rPr>
            </w:pPr>
            <w:r>
              <w:rPr>
                <w:rFonts w:ascii="Arial" w:cs="Arial" w:eastAsia="Arial" w:hAnsi="Arial"/>
                <w:sz w:val="14"/>
                <w:szCs w:val="14"/>
                <w:color w:val="auto"/>
                <w:w w:val="89"/>
              </w:rPr>
              <w:t>2009</w:t>
            </w:r>
          </w:p>
        </w:tc>
        <w:tc>
          <w:tcPr>
            <w:tcW w:w="8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224,719(2)</w:t>
            </w:r>
          </w:p>
        </w:tc>
        <w:tc>
          <w:tcPr>
            <w:tcW w:w="4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204,050</w:t>
            </w:r>
          </w:p>
        </w:tc>
        <w:tc>
          <w:tcPr>
            <w:tcW w:w="9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195,377</w:t>
            </w:r>
          </w:p>
        </w:tc>
        <w:tc>
          <w:tcPr>
            <w:tcW w:w="6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65,128(11)</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689,274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Operating Officer</w:t>
            </w:r>
          </w:p>
        </w:tc>
        <w:tc>
          <w:tcPr>
            <w:tcW w:w="158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9"/>
              </w:rPr>
              <w:t>2008</w:t>
            </w:r>
          </w:p>
        </w:tc>
        <w:tc>
          <w:tcPr>
            <w:tcW w:w="8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180,615</w:t>
            </w:r>
          </w:p>
        </w:tc>
        <w:tc>
          <w:tcPr>
            <w:tcW w:w="4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314,406</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103,760</w:t>
            </w:r>
          </w:p>
        </w:tc>
        <w:tc>
          <w:tcPr>
            <w:tcW w:w="6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60,875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659,655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center"/>
              <w:ind w:left="832"/>
              <w:spacing w:after="0"/>
              <w:rPr>
                <w:sz w:val="20"/>
                <w:szCs w:val="20"/>
                <w:color w:val="auto"/>
              </w:rPr>
            </w:pPr>
            <w:r>
              <w:rPr>
                <w:rFonts w:ascii="Arial" w:cs="Arial" w:eastAsia="Arial" w:hAnsi="Arial"/>
                <w:sz w:val="14"/>
                <w:szCs w:val="14"/>
                <w:color w:val="auto"/>
                <w:w w:val="89"/>
              </w:rPr>
              <w:t>2007</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178,459</w:t>
            </w:r>
          </w:p>
        </w:tc>
        <w:tc>
          <w:tcPr>
            <w:tcW w:w="4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193,892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125,379</w:t>
            </w:r>
          </w:p>
        </w:tc>
        <w:tc>
          <w:tcPr>
            <w:tcW w:w="60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72,713</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570,443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Rembert de Villa</w:t>
            </w:r>
          </w:p>
        </w:tc>
        <w:tc>
          <w:tcPr>
            <w:tcW w:w="1580" w:type="dxa"/>
            <w:vAlign w:val="bottom"/>
            <w:gridSpan w:val="3"/>
          </w:tcPr>
          <w:p>
            <w:pPr>
              <w:jc w:val="center"/>
              <w:ind w:left="832"/>
              <w:spacing w:after="0" w:line="138" w:lineRule="exact"/>
              <w:rPr>
                <w:sz w:val="20"/>
                <w:szCs w:val="20"/>
                <w:color w:val="auto"/>
              </w:rPr>
            </w:pPr>
            <w:r>
              <w:rPr>
                <w:rFonts w:ascii="Arial" w:cs="Arial" w:eastAsia="Arial" w:hAnsi="Arial"/>
                <w:sz w:val="14"/>
                <w:szCs w:val="14"/>
                <w:color w:val="auto"/>
                <w:w w:val="89"/>
              </w:rPr>
              <w:t>2009</w:t>
            </w:r>
          </w:p>
        </w:tc>
        <w:tc>
          <w:tcPr>
            <w:tcW w:w="8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350,000</w:t>
            </w:r>
          </w:p>
        </w:tc>
        <w:tc>
          <w:tcPr>
            <w:tcW w:w="440" w:type="dxa"/>
            <w:vAlign w:val="bottom"/>
          </w:tcPr>
          <w:p>
            <w:pPr>
              <w:spacing w:after="0"/>
              <w:rPr>
                <w:sz w:val="11"/>
                <w:szCs w:val="11"/>
                <w:color w:val="auto"/>
              </w:rPr>
            </w:pPr>
          </w:p>
        </w:tc>
        <w:tc>
          <w:tcPr>
            <w:tcW w:w="8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164,146</w:t>
            </w:r>
          </w:p>
        </w:tc>
        <w:tc>
          <w:tcPr>
            <w:tcW w:w="96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215,600</w:t>
            </w:r>
          </w:p>
        </w:tc>
        <w:tc>
          <w:tcPr>
            <w:tcW w:w="600" w:type="dxa"/>
            <w:vAlign w:val="bottom"/>
          </w:tcPr>
          <w:p>
            <w:pPr>
              <w:spacing w:after="0"/>
              <w:rPr>
                <w:sz w:val="11"/>
                <w:szCs w:val="11"/>
                <w:color w:val="auto"/>
              </w:rPr>
            </w:pPr>
          </w:p>
        </w:tc>
        <w:tc>
          <w:tcPr>
            <w:tcW w:w="1240" w:type="dxa"/>
            <w:vAlign w:val="bottom"/>
            <w:gridSpan w:val="3"/>
          </w:tcPr>
          <w:p>
            <w:pPr>
              <w:jc w:val="right"/>
              <w:ind w:right="480"/>
              <w:spacing w:after="0" w:line="138" w:lineRule="exact"/>
              <w:rPr>
                <w:sz w:val="20"/>
                <w:szCs w:val="20"/>
                <w:color w:val="auto"/>
              </w:rPr>
            </w:pPr>
            <w:r>
              <w:rPr>
                <w:rFonts w:ascii="Arial" w:cs="Arial" w:eastAsia="Arial" w:hAnsi="Arial"/>
                <w:sz w:val="14"/>
                <w:szCs w:val="14"/>
                <w:color w:val="auto"/>
              </w:rPr>
              <w:t>18,243</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747,989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gridSpan w:val="3"/>
          </w:tcPr>
          <w:p>
            <w:pPr>
              <w:spacing w:after="0" w:line="149" w:lineRule="exact"/>
              <w:rPr>
                <w:sz w:val="20"/>
                <w:szCs w:val="20"/>
                <w:color w:val="auto"/>
              </w:rPr>
            </w:pPr>
            <w:r>
              <w:rPr>
                <w:rFonts w:ascii="Arial" w:cs="Arial" w:eastAsia="Arial" w:hAnsi="Arial"/>
                <w:sz w:val="14"/>
                <w:szCs w:val="14"/>
                <w:color w:val="auto"/>
              </w:rPr>
              <w:t>Managing Principal &amp; Head of Transformation</w:t>
            </w:r>
          </w:p>
        </w:tc>
        <w:tc>
          <w:tcPr>
            <w:tcW w:w="1580" w:type="dxa"/>
            <w:vAlign w:val="bottom"/>
            <w:gridSpan w:val="3"/>
          </w:tcPr>
          <w:p>
            <w:pPr>
              <w:jc w:val="center"/>
              <w:ind w:left="832"/>
              <w:spacing w:after="0" w:line="149" w:lineRule="exact"/>
              <w:rPr>
                <w:sz w:val="20"/>
                <w:szCs w:val="20"/>
                <w:color w:val="auto"/>
              </w:rPr>
            </w:pPr>
            <w:r>
              <w:rPr>
                <w:rFonts w:ascii="Arial" w:cs="Arial" w:eastAsia="Arial" w:hAnsi="Arial"/>
                <w:sz w:val="14"/>
                <w:szCs w:val="14"/>
                <w:color w:val="auto"/>
                <w:w w:val="89"/>
              </w:rPr>
              <w:t>2008</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249,263</w:t>
            </w:r>
          </w:p>
        </w:tc>
        <w:tc>
          <w:tcPr>
            <w:tcW w:w="44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95,260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279,641</w:t>
            </w: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194,606</w:t>
            </w:r>
          </w:p>
        </w:tc>
        <w:tc>
          <w:tcPr>
            <w:tcW w:w="600" w:type="dxa"/>
            <w:vAlign w:val="bottom"/>
          </w:tcPr>
          <w:p>
            <w:pPr>
              <w:spacing w:after="0"/>
              <w:rPr>
                <w:sz w:val="12"/>
                <w:szCs w:val="12"/>
                <w:color w:val="auto"/>
              </w:rPr>
            </w:pP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2,184</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820,953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80" w:type="dxa"/>
            <w:vAlign w:val="bottom"/>
            <w:gridSpan w:val="3"/>
          </w:tcPr>
          <w:p>
            <w:pPr>
              <w:jc w:val="center"/>
              <w:ind w:left="832"/>
              <w:spacing w:after="0"/>
              <w:rPr>
                <w:sz w:val="20"/>
                <w:szCs w:val="20"/>
                <w:color w:val="auto"/>
              </w:rPr>
            </w:pPr>
            <w:r>
              <w:rPr>
                <w:rFonts w:ascii="Arial" w:cs="Arial" w:eastAsia="Arial" w:hAnsi="Arial"/>
                <w:sz w:val="14"/>
                <w:szCs w:val="14"/>
                <w:color w:val="auto"/>
                <w:w w:val="89"/>
              </w:rPr>
              <w:t>2007</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240" w:hanging="332"/>
        <w:spacing w:after="0" w:line="317"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amounts in column (c) for Mr. Chhibbar include $41,814 that was available to Mr. Chhibbar as part of a housing allowance, $8,681 that was available as part of an automobile allowance, $6,462 of leave travel allowance, $188 of medical coverage and $16,316 of a supplementary allowance, and which in each case Mr. Chhibbar elected to receive instead in cash.</w:t>
      </w:r>
    </w:p>
    <w:p>
      <w:pPr>
        <w:ind w:left="340" w:right="40" w:hanging="332"/>
        <w:spacing w:after="0" w:line="317"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amounts in column (c) for Mr. Bagai include $23,694 that was available to Mr. Bagai as part of a housing allowance and $16,119 that was available as part of an automobile allowance, $8,302 of leave travel allowance, $322 of medical coverage and $78,044 of a supplementary allowance, and which in each case Mr. Bagai elected to receive instead in cash.</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Matthew Appel resigned as our Chief Financial Officer effective May 15, 2009.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Vishal Chhibbar became our Chief Financial Officer on June 1, 2009.</w:t>
      </w:r>
    </w:p>
    <w:p>
      <w:pPr>
        <w:spacing w:after="0" w:line="55" w:lineRule="exact"/>
        <w:rPr>
          <w:rFonts w:ascii="Arial" w:cs="Arial" w:eastAsia="Arial" w:hAnsi="Arial"/>
          <w:sz w:val="14"/>
          <w:szCs w:val="14"/>
          <w:color w:val="auto"/>
        </w:rPr>
      </w:pPr>
    </w:p>
    <w:p>
      <w:pPr>
        <w:ind w:left="340" w:right="640" w:hanging="332"/>
        <w:spacing w:after="0" w:line="239"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amounts in column (e) reflect the total grant date fair value of awards recognized for financial statement reporting purposes for the fiscal years ended December 31, 2007, 2008 and 2009, in accordance with FASB ASC Topic 718 (disregarding any forfeiture assumptions).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spacing w:after="0" w:line="278" w:lineRule="auto"/>
        <w:rPr>
          <w:sz w:val="20"/>
          <w:szCs w:val="20"/>
          <w:color w:val="auto"/>
        </w:rPr>
      </w:pPr>
      <w:r>
        <w:rPr>
          <w:rFonts w:ascii="Arial" w:cs="Arial" w:eastAsia="Arial" w:hAnsi="Arial"/>
          <w:sz w:val="12"/>
          <w:szCs w:val="12"/>
          <w:color w:val="auto"/>
        </w:rPr>
        <w:t>Assumptions used in the calculation of these amounts are included (i) for 2009, in footnotes 2 and 13 to the audited financial statements for the fiscal year ended December 31, 2009 included in our Annual Report on Form 10-K filed with the Securities and Exchange Commission on March 16, 2010; (ii) for 2008, in footnotes 2 and 11 to the audited financial statements for the fiscal year ended December 31, 2008 included in our Annual Report on Form 10-K filed with the Securities and Exchange Commission on March 16, 2009; and (iii) for 2007, in footnotes 2 and 13 to the audited financial statements for the fiscal year ended December 31, 2007 included in our Annual Report on Form 10-K filed with the Securities and Exchange Commission on March 17, 2008.</w:t>
      </w:r>
    </w:p>
    <w:p>
      <w:pPr>
        <w:spacing w:after="0" w:line="22" w:lineRule="exact"/>
        <w:rPr>
          <w:sz w:val="20"/>
          <w:szCs w:val="20"/>
          <w:color w:val="auto"/>
        </w:rPr>
      </w:pPr>
    </w:p>
    <w:p>
      <w:pPr>
        <w:ind w:left="340" w:hanging="332"/>
        <w:spacing w:after="0" w:line="227"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in column (f) reflect the total grant date fair value of awards recognized for financial statement reporting purposes for the fiscal years ended December 31, 2007, 2008 and 2009, in accordance with FASB ASC Topic 718 (disregarding any forfeiture assumptions). Assumptions used in the calculation of these amounts are included (i) for 2009, in footnotes 2 and 13 to the audited financial statements for the fiscal year ended December 31, 2009 included in our Annual Report on Form 10-K filed with the Securities and Exchange Commission on March 16, 2010; (ii) for 2008, in footnotes 2 and 11 to the audited financial statements for the fiscal year ended December 31, 2008 included in our Annual Report on Form 10-K filed with the Securities and Exchange Commission on March 16, 2009; and (iii) for 2007, in footnotes 2 and 13 to the audited financial statements for the fiscal year ended December 31, 2007 included in our Annual Report on Form 10-K filed with the Securities and Exchange Commission on March 17, 2008.</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in column (g) reflect cash bonuses earned. For details of our cash bonus program, see “Compensation Discussion and Analysis—Cash Incentive Bonus” on page 18.</w:t>
      </w:r>
    </w:p>
    <w:p>
      <w:pPr>
        <w:spacing w:after="0" w:line="55" w:lineRule="exact"/>
        <w:rPr>
          <w:rFonts w:ascii="Arial" w:cs="Arial" w:eastAsia="Arial" w:hAnsi="Arial"/>
          <w:sz w:val="14"/>
          <w:szCs w:val="14"/>
          <w:color w:val="auto"/>
        </w:rPr>
      </w:pPr>
    </w:p>
    <w:p>
      <w:pPr>
        <w:ind w:left="340" w:right="20" w:hanging="332"/>
        <w:spacing w:after="0" w:line="278"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amount shown in column (i) for Vikram Talwar includes business class airfare between India and the United States for Mr. Talwar and his family in the total amount of $38,381, and telephone charges of $27,629. Other items reflected in column (i) include a travel allowance for Mr. Talwar’s spouse, car payments and related insurance and fuel and toll expenses in the United States, associated automobile insurance, driver’s wages and fuel charges for an automobile in India, employer contributions to our 401(k) plan and payments toward personal security protection in India, life insurance premiums, medical insurance premiums, payments towards expenses while traveling outside of India for work, and payment of a club membership.</w:t>
      </w:r>
    </w:p>
    <w:p>
      <w:pPr>
        <w:spacing w:after="0" w:line="22" w:lineRule="exact"/>
        <w:rPr>
          <w:rFonts w:ascii="Arial" w:cs="Arial" w:eastAsia="Arial" w:hAnsi="Arial"/>
          <w:sz w:val="12"/>
          <w:szCs w:val="12"/>
          <w:color w:val="auto"/>
        </w:rPr>
      </w:pPr>
    </w:p>
    <w:p>
      <w:pPr>
        <w:ind w:left="340" w:right="300" w:hanging="332"/>
        <w:spacing w:after="0" w:line="288"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amount shown in column (i) for Rohit Kapoor includes business class airfare between India and the United States for Mr. Kapoor and his family. Other items include car payments and related insurance, fuel, toll and repair expenses in the United States, employer contributions to our 401(k) plan, life insurance premiums, medical insurance premiums, automobile parking expenses, expenses while traveling out of the United States for work, personal security protection in India payment of a club membership and home internet costs.</w:t>
      </w:r>
    </w:p>
    <w:p>
      <w:pPr>
        <w:spacing w:after="0" w:line="16" w:lineRule="exact"/>
        <w:rPr>
          <w:rFonts w:ascii="Arial" w:cs="Arial" w:eastAsia="Arial" w:hAnsi="Arial"/>
          <w:sz w:val="12"/>
          <w:szCs w:val="12"/>
          <w:color w:val="auto"/>
        </w:rPr>
      </w:pPr>
    </w:p>
    <w:p>
      <w:pPr>
        <w:ind w:left="340" w:right="60" w:hanging="332"/>
        <w:spacing w:after="0" w:line="230"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 shown in column (i) for Vishal Chhibbar includes $24,230 for a housing allowance and $48,676 in relocation assistance in connection with Mr. Chhibbar’s relocation at our request from Australia to Noida, Uttar Pradesh, India, and $13,040 in contributions under an Indian provident plan and our gratuity plan, both of which are required under Indian law. Information regarding the Indian provident plan and our gratuity plan may be found in Note 10 to the audited financial statements included in our Annual Report on Form 10-K with the Securities and Exchange Commission on March 16, 2010.</w:t>
      </w:r>
    </w:p>
    <w:p>
      <w:pPr>
        <w:spacing w:after="0" w:line="44" w:lineRule="exact"/>
        <w:rPr>
          <w:rFonts w:ascii="Arial" w:cs="Arial" w:eastAsia="Arial" w:hAnsi="Arial"/>
          <w:sz w:val="14"/>
          <w:szCs w:val="14"/>
          <w:color w:val="auto"/>
        </w:rPr>
      </w:pPr>
    </w:p>
    <w:p>
      <w:pPr>
        <w:ind w:left="340" w:right="20" w:hanging="332"/>
        <w:spacing w:after="0" w:line="233"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 shown in column (i) for Pavan Bagai includes $36,106 for a housing allowance and $16,611 in contributions under an Indian provident plan and our gratuity plan, both of which are required under Indian law. Information regarding the Indian provident plan and our gratuity plan may be found in Note 10 to the audited financial statements for the fiscal year ended December 31, 2009 included in our Annual Report on Form 10-K filed with the Securities and Exchange Commission on March 16, 2010.</w:t>
      </w:r>
    </w:p>
    <w:p>
      <w:pPr>
        <w:spacing w:after="0" w:line="141"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For this proxy, rupees were converted to dollars using a conversion rate of 46.53 Rupees equal to $1.00, the conversion rate in effect on December 31, 2009. 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2009</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All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restart"/>
          </w:tcPr>
          <w:p>
            <w:pPr>
              <w:jc w:val="center"/>
              <w:ind w:left="18"/>
              <w:spacing w:after="0"/>
              <w:rPr>
                <w:sz w:val="20"/>
                <w:szCs w:val="20"/>
                <w:color w:val="auto"/>
              </w:rPr>
            </w:pPr>
            <w:r>
              <w:rPr>
                <w:rFonts w:ascii="Arial" w:cs="Arial" w:eastAsia="Arial" w:hAnsi="Arial"/>
                <w:sz w:val="14"/>
                <w:szCs w:val="14"/>
                <w:b w:val="1"/>
                <w:bCs w:val="1"/>
                <w:color w:val="auto"/>
                <w:w w:val="89"/>
              </w:rPr>
              <w:t>Estimated Future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All other</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380" w:type="dxa"/>
            <w:vAlign w:val="bottom"/>
            <w:gridSpan w:val="7"/>
            <w:vMerge w:val="restart"/>
          </w:tcPr>
          <w:p>
            <w:pPr>
              <w:ind w:left="400"/>
              <w:spacing w:after="0" w:line="149" w:lineRule="exact"/>
              <w:rPr>
                <w:sz w:val="20"/>
                <w:szCs w:val="20"/>
                <w:color w:val="auto"/>
              </w:rPr>
            </w:pPr>
            <w:r>
              <w:rPr>
                <w:rFonts w:ascii="Arial" w:cs="Arial" w:eastAsia="Arial" w:hAnsi="Arial"/>
                <w:sz w:val="14"/>
                <w:szCs w:val="14"/>
                <w:b w:val="1"/>
                <w:bCs w:val="1"/>
                <w:color w:val="auto"/>
              </w:rPr>
              <w:t>Payouts Under Non-Equity</w:t>
            </w: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8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38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Awards(1)</w:t>
            </w: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Borders>
              <w:bottom w:val="single" w:sz="8" w:color="auto"/>
            </w:tcBorders>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9"/>
                <w:szCs w:val="9"/>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9"/>
                <w:szCs w:val="9"/>
                <w:color w:val="auto"/>
              </w:rPr>
            </w:pP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Closing</w:t>
            </w:r>
          </w:p>
        </w:tc>
        <w:tc>
          <w:tcPr>
            <w:tcW w:w="220" w:type="dxa"/>
            <w:vAlign w:val="bottom"/>
          </w:tcPr>
          <w:p>
            <w:pPr>
              <w:spacing w:after="0"/>
              <w:rPr>
                <w:sz w:val="9"/>
                <w:szCs w:val="9"/>
                <w:color w:val="auto"/>
              </w:rPr>
            </w:pPr>
          </w:p>
        </w:tc>
        <w:tc>
          <w:tcPr>
            <w:tcW w:w="76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2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Thres-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Grant</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hold</w:t>
            </w:r>
          </w:p>
        </w:tc>
        <w:tc>
          <w:tcPr>
            <w:tcW w:w="120" w:type="dxa"/>
            <w:vAlign w:val="bottom"/>
          </w:tcPr>
          <w:p>
            <w:pPr>
              <w:spacing w:after="0"/>
              <w:rPr>
                <w:sz w:val="12"/>
                <w:szCs w:val="12"/>
                <w:color w:val="auto"/>
              </w:rPr>
            </w:pPr>
          </w:p>
        </w:tc>
        <w:tc>
          <w:tcPr>
            <w:tcW w:w="10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Target</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2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35"/>
        </w:trPr>
        <w:tc>
          <w:tcPr>
            <w:tcW w:w="3540" w:type="dxa"/>
            <w:vAlign w:val="bottom"/>
            <w:gridSpan w:val="3"/>
            <w:vMerge w:val="continue"/>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Date</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840" w:type="dxa"/>
            <w:vAlign w:val="bottom"/>
            <w:gridSpan w:val="2"/>
          </w:tcPr>
          <w:p>
            <w:pPr>
              <w:jc w:val="right"/>
              <w:ind w:right="212"/>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220"/>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32"/>
              <w:spacing w:after="0" w:line="135" w:lineRule="exact"/>
              <w:rPr>
                <w:sz w:val="20"/>
                <w:szCs w:val="20"/>
                <w:color w:val="auto"/>
              </w:rPr>
            </w:pPr>
            <w:r>
              <w:rPr>
                <w:rFonts w:ascii="Arial" w:cs="Arial" w:eastAsia="Arial" w:hAnsi="Arial"/>
                <w:sz w:val="14"/>
                <w:szCs w:val="14"/>
                <w:b w:val="1"/>
                <w:bCs w:val="1"/>
                <w:color w:val="auto"/>
                <w:w w:val="93"/>
              </w:rPr>
              <w:t>(#)(2)</w:t>
            </w:r>
          </w:p>
        </w:tc>
        <w:tc>
          <w:tcPr>
            <w:tcW w:w="1040" w:type="dxa"/>
            <w:vAlign w:val="bottom"/>
            <w:gridSpan w:val="2"/>
          </w:tcPr>
          <w:p>
            <w:pPr>
              <w:jc w:val="center"/>
              <w:ind w:left="135"/>
              <w:spacing w:after="0" w:line="135" w:lineRule="exact"/>
              <w:rPr>
                <w:sz w:val="20"/>
                <w:szCs w:val="20"/>
                <w:color w:val="auto"/>
              </w:rPr>
            </w:pPr>
            <w:r>
              <w:rPr>
                <w:rFonts w:ascii="Arial" w:cs="Arial" w:eastAsia="Arial" w:hAnsi="Arial"/>
                <w:sz w:val="14"/>
                <w:szCs w:val="14"/>
                <w:b w:val="1"/>
                <w:bCs w:val="1"/>
                <w:color w:val="auto"/>
                <w:w w:val="87"/>
              </w:rPr>
              <w:t>(#)(2)</w:t>
            </w:r>
          </w:p>
        </w:tc>
        <w:tc>
          <w:tcPr>
            <w:tcW w:w="2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($/Sh)(3)</w:t>
            </w:r>
          </w:p>
        </w:tc>
        <w:tc>
          <w:tcPr>
            <w:tcW w:w="2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w:t>
            </w:r>
          </w:p>
        </w:tc>
        <w:tc>
          <w:tcPr>
            <w:tcW w:w="960" w:type="dxa"/>
            <w:vAlign w:val="bottom"/>
            <w:gridSpan w:val="2"/>
          </w:tcPr>
          <w:p>
            <w:pPr>
              <w:jc w:val="center"/>
              <w:ind w:left="115"/>
              <w:spacing w:after="0" w:line="135"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2/10/2009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2/10/2009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315,000</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630,000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196,400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Appel(4)</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Vishal Chhibbar</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6/1/2009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86,190</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172,380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2/10/2009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141,168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282,336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2/10/2009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Rembert de Villa</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2/10/2009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2/10/2009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0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amounts reflect the target and maximum cash bonuses set for 2009. For details of our cash bonus program, see “Compensation Discussion and Analysis—Cash Incentive Bonus” on page 18.</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vesting schedules of the grants mentioned in the table are as follows (and assume continued employment through each applicable vesting date):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Vesting</w:t>
            </w:r>
          </w:p>
        </w:tc>
        <w:tc>
          <w:tcPr>
            <w:tcW w:w="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start</w:t>
            </w:r>
          </w:p>
        </w:tc>
        <w:tc>
          <w:tcPr>
            <w:tcW w:w="40" w:type="dxa"/>
            <w:vAlign w:val="bottom"/>
          </w:tcPr>
          <w:p>
            <w:pPr>
              <w:spacing w:after="0"/>
              <w:rPr>
                <w:sz w:val="12"/>
                <w:szCs w:val="12"/>
                <w:color w:val="auto"/>
              </w:rPr>
            </w:pPr>
          </w:p>
        </w:tc>
        <w:tc>
          <w:tcPr>
            <w:tcW w:w="492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Grant Date</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date</w:t>
            </w:r>
          </w:p>
        </w:tc>
        <w:tc>
          <w:tcPr>
            <w:tcW w:w="40" w:type="dxa"/>
            <w:vAlign w:val="bottom"/>
          </w:tcPr>
          <w:p>
            <w:pPr>
              <w:spacing w:after="0"/>
              <w:rPr>
                <w:sz w:val="14"/>
                <w:szCs w:val="14"/>
                <w:color w:val="auto"/>
              </w:rPr>
            </w:pPr>
          </w:p>
        </w:tc>
        <w:tc>
          <w:tcPr>
            <w:tcW w:w="4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2/10/2009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2/10/2009</w:t>
            </w:r>
          </w:p>
        </w:tc>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2/10/2009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2/10/2009</w:t>
            </w:r>
          </w:p>
        </w:tc>
        <w:tc>
          <w:tcPr>
            <w:tcW w:w="4960" w:type="dxa"/>
            <w:vAlign w:val="bottom"/>
            <w:gridSpan w:val="2"/>
          </w:tcPr>
          <w:p>
            <w:pPr>
              <w:ind w:left="40"/>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Vishal Chhibbar</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6/1/2009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6/1/2009</w:t>
            </w:r>
          </w:p>
        </w:tc>
        <w:tc>
          <w:tcPr>
            <w:tcW w:w="4960" w:type="dxa"/>
            <w:vAlign w:val="bottom"/>
            <w:gridSpan w:val="2"/>
          </w:tcPr>
          <w:p>
            <w:pPr>
              <w:ind w:left="40"/>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2/10/2009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2/10/2009</w:t>
            </w:r>
          </w:p>
        </w:tc>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2/10/2009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2/10/2009</w:t>
            </w:r>
          </w:p>
        </w:tc>
        <w:tc>
          <w:tcPr>
            <w:tcW w:w="4960" w:type="dxa"/>
            <w:vAlign w:val="bottom"/>
            <w:gridSpan w:val="2"/>
          </w:tcPr>
          <w:p>
            <w:pPr>
              <w:ind w:left="40"/>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1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 of Messrs. Talwar’s, Kapoor’s, Bagai’s, Chhibbar’s and de Villa’s options were set equal to the average of the high and low sales prices of our common stock on the trading day immediately preceding the date of grant.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Mr. Appel’s resignation, no annual cash bonus was granted to Mr. Appel under our cash bonus program.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entered into employment agreements with Messrs. Talwar and Kapoor, effective September 30, 2006, as amended and restated on December 16, 2008. Mr. Kapoor’s employment agreement was subsequently amended on March 16, 2010. Mr. Talwar serves as our Executive Chairman, served as our Chief Executive Officer and Vice Chairman between November 2002 and May 2008. Mr. Kapoor serves as our President and Chief Executive Officer, served as our Chief Financial Officer between August 2006 and March 30, 2007 and for certain periods prior to such dates and is based at our executive offices in New York, New York. Mr. Talwar’s agreement had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fixed term that ended on December 31, 2009 but was automatically extended for 12 months, and we extended the term of Mr. Kapoor’s agreement to</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December 31, 2012. Each agreement will automatically extend for successive 12 month periods at the end of any fixed term unless either party provides the other with 120 days’ notice of its desire not to extend the agreement.</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Salary and Bonus</w:t>
      </w:r>
      <w:r>
        <w:rPr>
          <w:rFonts w:ascii="Arial" w:cs="Arial" w:eastAsia="Arial" w:hAnsi="Arial"/>
          <w:sz w:val="18"/>
          <w:szCs w:val="18"/>
          <w:color w:val="auto"/>
        </w:rPr>
        <w:t>. Mr. Talwar receives an annual base salary of $420,000, and Mr. Kapoor receives an annual salary of $500,000. These base salaries can</w:t>
      </w:r>
      <w:r>
        <w:rPr>
          <w:rFonts w:ascii="Arial" w:cs="Arial" w:eastAsia="Arial" w:hAnsi="Arial"/>
          <w:sz w:val="18"/>
          <w:szCs w:val="18"/>
          <w:i w:val="1"/>
          <w:iCs w:val="1"/>
          <w:color w:val="auto"/>
        </w:rPr>
        <w:t xml:space="preserve"> </w:t>
      </w:r>
      <w:r>
        <w:rPr>
          <w:rFonts w:ascii="Arial" w:cs="Arial" w:eastAsia="Arial" w:hAnsi="Arial"/>
          <w:sz w:val="18"/>
          <w:szCs w:val="18"/>
          <w:color w:val="auto"/>
        </w:rPr>
        <w:t>be increased at our sole discretion and cannot be decreased unless a company-wide decrease in pay is implemented. Messrs. Talwar and Kapoor can each earn an annual cash bonus, with a target of 75% of base salary and a maximum of 150% of base salary, based upon the attainment of criteria determined by our Compensation Committee.</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Messrs. Talwar and Kapoor are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 year over four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Messrs. Talwar and Kapoor can participate in all the benefit plans we provide to senior executives and employees generally.</w:t>
      </w:r>
    </w:p>
    <w:p>
      <w:pPr>
        <w:spacing w:after="0" w:line="17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we require either Mr. Talwar or Mr. Kapoor to relocate, we will pay the relocation costs. We will reimburse the executive for the after-tax cost of maintaining his existing home. He will need to use his best efforts to mitigate our cost by either renting or selling his home.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Benefits</w:t>
      </w:r>
      <w:r>
        <w:rPr>
          <w:rFonts w:ascii="Arial" w:cs="Arial" w:eastAsia="Arial" w:hAnsi="Arial"/>
          <w:sz w:val="18"/>
          <w:szCs w:val="18"/>
          <w:color w:val="auto"/>
        </w:rPr>
        <w:t>. We provide Messrs. Talwar and Kapoor with certain personal benefits, including:</w:t>
      </w:r>
    </w:p>
    <w:p>
      <w:pPr>
        <w:spacing w:after="0" w:line="90" w:lineRule="exact"/>
        <w:rPr>
          <w:sz w:val="20"/>
          <w:szCs w:val="20"/>
          <w:color w:val="auto"/>
        </w:rPr>
      </w:pPr>
    </w:p>
    <w:p>
      <w:pPr>
        <w:ind w:left="900" w:right="8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associated with maintaining an automobile in the United States (including up to $1,200 per month for lease or loan payments for Mr. Talwar and up to $1,400 per month for lease or loan payments for Mr. Kapoor);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four weeks paid vacation each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club memberships up to $3,500 per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reimbursement of additional taxes the executive must pay because he either works or lives in India or travels to India for work;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once-a-year business class airfare between the United States and India (or India and the United States, as applicable) for the executive and his family;</w:t>
      </w:r>
    </w:p>
    <w:p>
      <w:pPr>
        <w:spacing w:after="0" w:line="124" w:lineRule="exact"/>
        <w:rPr>
          <w:rFonts w:ascii="Arial" w:cs="Arial" w:eastAsia="Arial" w:hAnsi="Arial"/>
          <w:sz w:val="15"/>
          <w:szCs w:val="15"/>
          <w:color w:val="auto"/>
        </w:rPr>
      </w:pPr>
    </w:p>
    <w:p>
      <w:pPr>
        <w:ind w:left="900" w:right="5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executive’s children through secondary school during the period when the executive and his immediate family live outside the United States in connection with company business;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Benefits for Mr. Talwar</w:t>
      </w:r>
      <w:r>
        <w:rPr>
          <w:rFonts w:ascii="Arial" w:cs="Arial" w:eastAsia="Arial" w:hAnsi="Arial"/>
          <w:sz w:val="18"/>
          <w:szCs w:val="18"/>
          <w:color w:val="auto"/>
        </w:rPr>
        <w:t>. The benefits Mr. Talwar receives which Mr. Kapoor does not receive include the following:</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expenses associated with maintaining an automobile in India (including the cost of a driver);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and</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$150 per diem billeting allowance for each night that the executive does not stay in a hotel during travel to the United States on company business, thereby saving us from incurring boarding and lodging expenses, while Mr. Talwar resides outside the United States.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Benefits for Mr. Kapoor</w:t>
      </w:r>
      <w:r>
        <w:rPr>
          <w:rFonts w:ascii="Arial" w:cs="Arial" w:eastAsia="Arial" w:hAnsi="Arial"/>
          <w:sz w:val="18"/>
          <w:szCs w:val="18"/>
          <w:color w:val="auto"/>
        </w:rPr>
        <w:t>. The benefits Mr. Kapoor receives which Mr. Talwar does not receive include the following:</w:t>
      </w:r>
    </w:p>
    <w:p>
      <w:pPr>
        <w:spacing w:after="0" w:line="90" w:lineRule="exact"/>
        <w:rPr>
          <w:sz w:val="20"/>
          <w:szCs w:val="20"/>
          <w:color w:val="auto"/>
        </w:rPr>
      </w:pPr>
    </w:p>
    <w:p>
      <w:pPr>
        <w:ind w:left="900" w:right="2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$12,000 for expenses associated with maintaining an automobile in India (including the cost of a driver); personal security for the executive and his family while in India; and</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 while Mr. Kapoor resides in the United States.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 October 10, 2008, Mr. Appel entered into a Separation Agreement with the Company. The Agreement provided that Mr. Appel would assist the Company in filing its Annual Report on Form 10-K for the fiscal year ending December 31, 2008 on or before March 16, 2009. We and Mr. Appel had entered into an amendment to the Separation Agreement, which amendment provided that Mr. Appel would resign on May 15, 2009. The amendment provided that Mr. Appel would assist the Company in filing its Quarterly Report on Form 10-Q for the fiscal quarter ending March 31, 2009 on or before May 11, 2009. We paid a bonus of $31,000 to Mr. Appel on May 21, 2009 in respect of his 2009 personal pay goals.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Our current employment agreement with Mr. Chhibbar became effective on May 1, 2009 and he began serving as our Chief Financial Officer on June 1, 2009. Mr. Chhibbar receives an annual basic salary of $132,979, which was prorated in 2009, and is eligible to receive a target cash bonus equal to 50% of his total annual fixed compensation, which was $295,509. As is customary in India, where Mr. Chhibbar is based, annual fixed compensation includes a housing allowance. Mr. Chhibbar received a one-time signing bonus of $26,864.</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provides Mr. Chhibbar with various relocation benefits, including reimbursements for certain moving expenses, a temporary monthly housing reimbursement through December 31, 2009, four round trip and four one way business class airfare tickets for travel between Melbourne, Australia and New Delhi, India for Mr. Chhibbar and his immediate family, and certain reimbursements for tax returns and tax advisory services he uses before June 1, 2010. Mr. Chhibbar is eligible to participate in the Company’s pension benefit, health and welfare and fringe benefit plans otherwise available to executive employees stationed in India.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entered into an employment agreement with Mr. Bagai dated August 1, 2002. Until August 15, 2009, Mr. Bagai received an annual fixed compensation of $257,898. Mr. Bagai’s annual fixed compensation was increased to $322,373 effective August 15, 2009. We amended Mr. Bagai’s employment agreement on November 27, 2009 to increase the notice due in advance of a termination of the agreement to three months. Mr. Bagai’s annual fixed compensation can be increased based on annual performance reviews. As is customary in India, where Mr. Bagai is based, annual fixed compensation includes a housing allowance. Mr. Bagai is eligible to receive a target cash bonus equal to 50% of his total annual fixed compensation. Mr. Bagai is eligible to participate in the Company’s pension benefit, health and welfare and fringe benefit plans otherwise available to executive employees stationed in India.</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entered into our current employment agreement with Mr. de Villa on March 20, 2008. Mr. de Villa receives an annual base salary of $350,000 and is eligible to receive an annual cash bonus with a target equal to 70% of his annual base salary. Mr. de Villa is eligible to participate in our health, dental, vision, life insurance and disability plans and to participate in our 401(k) plan in accordance with its terms.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2009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Option Awards</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Rights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 Unexer-</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 Unexer-</w:t>
            </w:r>
          </w:p>
        </w:tc>
        <w:tc>
          <w:tcPr>
            <w:tcW w:w="22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35"/>
        </w:trPr>
        <w:tc>
          <w:tcPr>
            <w:tcW w:w="4100" w:type="dxa"/>
            <w:vAlign w:val="bottom"/>
            <w:gridSpan w:val="3"/>
            <w:vMerge w:val="continue"/>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Exercisable</w:t>
            </w: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79"/>
              </w:rPr>
              <w:t>cisable</w:t>
            </w: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cisable</w:t>
            </w:r>
          </w:p>
        </w:tc>
        <w:tc>
          <w:tcPr>
            <w:tcW w:w="700" w:type="dxa"/>
            <w:vAlign w:val="bottom"/>
            <w:gridSpan w:val="2"/>
          </w:tcPr>
          <w:p>
            <w:pPr>
              <w:jc w:val="center"/>
              <w:ind w:left="134"/>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Date</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152"/>
              <w:spacing w:after="0" w:line="135" w:lineRule="exact"/>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152"/>
              <w:spacing w:after="0" w:line="135"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7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(g)(2)</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(h)(3)</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1/23/2018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680,625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196,400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2/10/2019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1/23/2018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680,625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11.88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7/26/2016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2/10/2019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Matthew Appel</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6/1/2019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11.88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4/19/2016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2/10/2019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2/10/2019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190,575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18,000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326,700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Rembert de Villa</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4/24/2018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2/10/2019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2/10/2019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65,340</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of Mr. Talwar’s and Mr. Kapoor’s 112,500 unvested options will vest in equal, 25% installments on each of the first three anniversaries of January 23, 2009, and each of their 196,400 unvested options will vest in equal 25% installments on each of the first four anniversaries of February 10, 2009. Unvested options granted subsequent to 2006 to executives other than Messrs. Talwar and Kapoor follow Standard Graded Vesting. Vesting of options is subject to continued employment on each vesting date, except as provided in “—Potential Payments Upon Termination or Change in Control.”</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of Mr. Talwar’s and Mr. Kapoor’s restricted shares vest as follows: 18,750 shares on each of January 26, 2010 and 2011. Mr. de Villa’s 3,600</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restricted shares vest as follows: 800 shares on April 24, 2010, 1,200 shares on April 24, 2011 and 1,600 shares on April 24, 2012. Mr. Bagai’s 28,500</w:t>
      </w:r>
    </w:p>
    <w:p>
      <w:pPr>
        <w:spacing w:after="0" w:line="32" w:lineRule="exact"/>
        <w:rPr>
          <w:rFonts w:ascii="Arial" w:cs="Arial" w:eastAsia="Arial" w:hAnsi="Arial"/>
          <w:sz w:val="16"/>
          <w:szCs w:val="16"/>
          <w:color w:val="auto"/>
        </w:rPr>
      </w:pPr>
    </w:p>
    <w:p>
      <w:pPr>
        <w:jc w:val="both"/>
        <w:ind w:left="460" w:right="40"/>
        <w:spacing w:after="0" w:line="255" w:lineRule="auto"/>
        <w:rPr>
          <w:rFonts w:ascii="Arial" w:cs="Arial" w:eastAsia="Arial" w:hAnsi="Arial"/>
          <w:sz w:val="16"/>
          <w:szCs w:val="16"/>
          <w:color w:val="auto"/>
        </w:rPr>
      </w:pPr>
      <w:r>
        <w:rPr>
          <w:rFonts w:ascii="Arial" w:cs="Arial" w:eastAsia="Arial" w:hAnsi="Arial"/>
          <w:sz w:val="18"/>
          <w:szCs w:val="18"/>
          <w:color w:val="auto"/>
        </w:rPr>
        <w:t>restricted shares vest as follows: 4,000 shares vest on April 24, 2010, 4,500 shares vest on April 25, 2010, 6,000 shares vest on April 24, 2011, 6,000 shares vest on April 25, 2011 and 8,000 shares vest on April 24, 2012. Vesting of restricted stock is subject to continued employment on each vesting date, except as provided in “—Potential Payments Upon Termination or Change in Control.”</w:t>
      </w:r>
    </w:p>
    <w:p>
      <w:pPr>
        <w:spacing w:after="0" w:line="49"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price used in determining the market values set forth in this table is $18.15, which was the closing price of our stock on December 31, 2009.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Year 2009</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Option Awards</w:t>
            </w:r>
          </w:p>
        </w:tc>
        <w:tc>
          <w:tcPr>
            <w:tcW w:w="920" w:type="dxa"/>
            <w:vAlign w:val="bottom"/>
          </w:tcPr>
          <w:p>
            <w:pPr>
              <w:spacing w:after="0"/>
              <w:rPr>
                <w:sz w:val="12"/>
                <w:szCs w:val="12"/>
                <w:color w:val="auto"/>
              </w:rPr>
            </w:pPr>
          </w:p>
        </w:tc>
        <w:tc>
          <w:tcPr>
            <w:tcW w:w="2260" w:type="dxa"/>
            <w:vAlign w:val="bottom"/>
            <w:tcBorders>
              <w:bottom w:val="single" w:sz="8" w:color="auto"/>
            </w:tcBorders>
            <w:gridSpan w:val="2"/>
          </w:tcPr>
          <w:p>
            <w:pPr>
              <w:ind w:left="1160"/>
              <w:spacing w:after="0" w:line="142" w:lineRule="exact"/>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No. of Shares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9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920" w:type="dxa"/>
            <w:vAlign w:val="bottom"/>
          </w:tcPr>
          <w:p>
            <w:pPr>
              <w:spacing w:after="0"/>
              <w:rPr>
                <w:sz w:val="12"/>
                <w:szCs w:val="12"/>
                <w:color w:val="auto"/>
              </w:rPr>
            </w:pPr>
          </w:p>
        </w:tc>
        <w:tc>
          <w:tcPr>
            <w:tcW w:w="22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No. of Shares Acquired</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920" w:type="dxa"/>
            <w:vAlign w:val="bottom"/>
          </w:tcPr>
          <w:p>
            <w:pPr>
              <w:spacing w:after="0"/>
              <w:rPr>
                <w:sz w:val="12"/>
                <w:szCs w:val="12"/>
                <w:color w:val="auto"/>
              </w:rPr>
            </w:pPr>
          </w:p>
        </w:tc>
        <w:tc>
          <w:tcPr>
            <w:tcW w:w="22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0"/>
              </w:rPr>
              <w:t>on 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5"/>
        </w:trPr>
        <w:tc>
          <w:tcPr>
            <w:tcW w:w="4820" w:type="dxa"/>
            <w:vAlign w:val="bottom"/>
            <w:gridSpan w:val="3"/>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780" w:type="dxa"/>
            <w:vAlign w:val="bottom"/>
            <w:gridSpan w:val="2"/>
          </w:tcPr>
          <w:p>
            <w:pPr>
              <w:jc w:val="center"/>
              <w:ind w:left="852"/>
              <w:spacing w:after="0" w:line="135" w:lineRule="exact"/>
              <w:rPr>
                <w:sz w:val="20"/>
                <w:szCs w:val="20"/>
                <w:color w:val="auto"/>
              </w:rPr>
            </w:pPr>
            <w:r>
              <w:rPr>
                <w:rFonts w:ascii="Arial" w:cs="Arial" w:eastAsia="Arial" w:hAnsi="Arial"/>
                <w:sz w:val="14"/>
                <w:szCs w:val="14"/>
                <w:b w:val="1"/>
                <w:bCs w:val="1"/>
                <w:color w:val="auto"/>
                <w:w w:val="81"/>
              </w:rPr>
              <w:t>($)</w:t>
            </w:r>
          </w:p>
        </w:tc>
        <w:tc>
          <w:tcPr>
            <w:tcW w:w="2260" w:type="dxa"/>
            <w:vAlign w:val="bottom"/>
            <w:gridSpan w:val="2"/>
          </w:tcPr>
          <w:p>
            <w:pPr>
              <w:jc w:val="center"/>
              <w:ind w:left="836"/>
              <w:spacing w:after="0" w:line="135" w:lineRule="exact"/>
              <w:rPr>
                <w:sz w:val="20"/>
                <w:szCs w:val="20"/>
                <w:color w:val="auto"/>
              </w:rPr>
            </w:pPr>
            <w:r>
              <w:rPr>
                <w:rFonts w:ascii="Arial" w:cs="Arial" w:eastAsia="Arial" w:hAnsi="Arial"/>
                <w:sz w:val="14"/>
                <w:szCs w:val="14"/>
                <w:b w:val="1"/>
                <w:bCs w:val="1"/>
                <w:color w:val="auto"/>
                <w:w w:val="81"/>
              </w:rPr>
              <w:t>(#)</w:t>
            </w:r>
          </w:p>
        </w:tc>
        <w:tc>
          <w:tcPr>
            <w:tcW w:w="9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44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9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9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9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Matthew Appel</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Severance. If either Mr. Talwar’s or Mr. Kapoor’s employment is terminated by us without “cause” or by the executive for “good reason” (in each case, as described below), the executive will be entitled to severance consisting of:</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continuation of life insurance coverage for 18 months. The life insurance coverage will terminate at the time the executive commences employment with another employer.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serious injury to our reputation;</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executive materially violates any of our material policies or materially, knowingly and intentionally fails to comply with certain applicable laws;</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willfully fails to substantially perform his duties for 15 days (other than for reason of physical or mental incapacity) after we notify him;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diminished, or he is required to report to anyone other than our board of directors;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executive’s base salary is reduced, or his target annual bonus opportunity is reduced below 75% of his base salary, unless a Company-wide decrease in pay is implemented;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location where the executive is based is moved more than 30 miles, and the new location is more than 30 miles from his primary residence in the metropolitan New York City area (other than a relocation to Delhi, India in the case of Mr. Kapoor);</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Mr. Kapoor only, if we have relocated Mr. Kapoor to the metropolitan Delhi, India area, the location where Mr. Kapoor is based in Delhi, India is moved more than 30 miles, and the new location is more than 30 miles from Mr. Kapoor’s primary residence in the Delhi, India area;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Mr. Kapoor, good reason does not include a request by the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problem began and must allow us 15 days to remedy the problem.</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Change in Control Severance</w:t>
      </w:r>
      <w:r>
        <w:rPr>
          <w:rFonts w:ascii="Arial" w:cs="Arial" w:eastAsia="Arial" w:hAnsi="Arial"/>
          <w:sz w:val="16"/>
          <w:szCs w:val="16"/>
          <w:color w:val="auto"/>
        </w:rPr>
        <w:t>. If a termination described above occurs within 12 months following a “change in control” that satisfies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of the Internal Revenue Code of 1986, as amended, and the Treasury Regulations promulgated thereunder (the “Code”), the executive will receive, in lieu of the severance described above, a lump sum payment of $999,000 and continuation of life insurance coverage for 18 months. If the change in control referenced in the preceding sentence does not satisfy the requirements of Section 409A of the Code, $999,000 will not be paid in a lump sum but will instead be paid ratably for 24 months. The life insurance coverage will terminate at the time the executive commences employment with another employer.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right="60" w:hanging="325"/>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31" w:lineRule="exact"/>
        <w:rPr>
          <w:rFonts w:ascii="Arial" w:cs="Arial" w:eastAsia="Arial" w:hAnsi="Arial"/>
          <w:sz w:val="16"/>
          <w:szCs w:val="16"/>
          <w:color w:val="auto"/>
        </w:rPr>
      </w:pPr>
    </w:p>
    <w:p>
      <w:pPr>
        <w:ind w:left="900" w:right="4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majority of the members of our board of directors changes, except that the election of any new director whose election or nomination was approved by at least a majority of our incumbent directors will not be regarded as a change in the majority for these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520" w:hanging="446"/>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either Mr. Talwar’s or Mr. Kapoor’s employment terminates on account of death or is terminated by either the executive or us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(as defined in the relevant employment agreement), the executive will be entitled to a pro-rated portion of the projected bonus amount for the year of termination.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Post-Termination Health Benefits</w:t>
      </w:r>
      <w:r>
        <w:rPr>
          <w:rFonts w:ascii="Arial" w:cs="Arial" w:eastAsia="Arial" w:hAnsi="Arial"/>
          <w:sz w:val="16"/>
          <w:szCs w:val="16"/>
          <w:color w:val="auto"/>
        </w:rPr>
        <w:t>. When Mr. Talwar’s or Mr. Kapoor’s employment ends for any reason other than termination by us for cause or a</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termination by the executive, we will pay on behalf of the executive and his eligible dependents the cost of continued coverage under our group health plan for 18 months in accordance with applicable federal law governing continuation of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Noncompete and Nonsolicit Provisions</w:t>
      </w:r>
      <w:r>
        <w:rPr>
          <w:rFonts w:ascii="Arial" w:cs="Arial" w:eastAsia="Arial" w:hAnsi="Arial"/>
          <w:sz w:val="18"/>
          <w:szCs w:val="18"/>
          <w:color w:val="auto"/>
        </w:rPr>
        <w:t>. Each of Messrs. Talwar and Kapoor is subject to confidentiality restrictions and noncompete, non-disparagement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Equity Award Treatment</w:t>
      </w:r>
      <w:r>
        <w:rPr>
          <w:rFonts w:ascii="Arial" w:cs="Arial" w:eastAsia="Arial" w:hAnsi="Arial"/>
          <w:sz w:val="16"/>
          <w:szCs w:val="16"/>
          <w:color w:val="auto"/>
        </w:rPr>
        <w:t>. If Mr. Talwar’s employment ends at the expiration of the term of his employment agreement because we give a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nonrenewal of the term of that agreement, or if a change in control occurs (as defined in our 2006 Plan, which definition is the same definition set forth above in “Change in Control Severance” on page 32), any portion of his equity awards which would have vested in the one year period following the termination of employment or change in control (as applicable) will become vested on the termination date or the consummation of the change in control (as applicable).</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Mr. Talwar’s employment is terminated by us without cause (as defined on page 31 above) in specific contemplation of or following a change in control or if Mr. Talwar resigns for good reason (as defined on page 32 above) following a change in control, his stock options and restricted stock award will become fully vested. Mr. Talwar will need to execute a standard release of employment-related claims in order for his restricted stock award to vest in such a case.</w:t>
      </w:r>
    </w:p>
    <w:p>
      <w:pPr>
        <w:spacing w:after="0" w:line="10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above), any portion of his stock options and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Mr. Kapoor’s employment is terminated by us without cause (as defined on page 31 above) in specific contemplation of or following a change in control, or if Mr. Kapoor resigns for good reason (as defined on page 32 above, as it applies to Mr. Kapoor) following a change in control, his stock options and restricted stock will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become fully vested and exercisable. Mr. Kapoor will need to execute a standard release of employment-related claims in order for his stock option and restricted stock to vest in such a case.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quantifying potential performances for purposes of this disclosure, we have quantified our equity-based payments by using the closing price of our stock on December 31, 2009, which was $18.15.</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Vikram Talwar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Talwar upon a change in control or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Cause</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Reason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of the</w:t>
            </w:r>
          </w:p>
        </w:tc>
        <w:tc>
          <w:tcPr>
            <w:tcW w:w="1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Reason or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Following</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following</w:t>
            </w: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35"/>
        </w:trPr>
        <w:tc>
          <w:tcPr>
            <w:tcW w:w="3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Employment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Without</w:t>
            </w: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Disability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terms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b w:val="1"/>
                <w:bCs w:val="1"/>
                <w:color w:val="auto"/>
                <w:w w:val="80"/>
              </w:rPr>
              <w:t>cause</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Control</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840,000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393,246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393,246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393,246</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21,845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21,845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21,845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$ 506,165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1,980,035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1,980,035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1,980,035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$ 340,313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680,625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680,625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680,625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Kapoor upon a change in control or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Cause</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Reason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of the</w:t>
            </w:r>
          </w:p>
        </w:tc>
        <w:tc>
          <w:tcPr>
            <w:tcW w:w="1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Reason or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Following</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Following</w:t>
            </w: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35"/>
        </w:trPr>
        <w:tc>
          <w:tcPr>
            <w:tcW w:w="3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Employment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Without</w:t>
            </w: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Disability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terms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b w:val="1"/>
                <w:bCs w:val="1"/>
                <w:color w:val="auto"/>
                <w:w w:val="80"/>
              </w:rPr>
              <w:t>cause</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Control</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840,000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414,414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414,414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414,414</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21,845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21,845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21,845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$ 506,165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1,980,035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1,980,035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1,980,035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$ 340,313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680,625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680,625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680,625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payments or benefits were provided to Mr. Appel in connection with his resignation, other than a payment of $9,635 in respect of his accrued paid time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Either Mr. Chhibbar or we may terminate Mr. Chhibbar’s employment at any time. If Mr. Chhibbar’s employment with the Company is terminated by the Company without “Cause” or by Mr. Chhibbar for “Good Reason,” Mr. Chhibbar will be entitled to severance equal to one times to his total annual fixed compensation then in effect. On a change in control (as defined in the 2006 Plan, which is summarized under the heading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“Change in Control Severance” on page 32), the vesting of all of Mr. Chhibbar’s outstanding equity awards will be advanced by one year. For example, if one of Mr. Chhibbar’s awards was vesting following Standard Graded Vesting and he had been 10% vested in the award immediately prior to the change in control, Mr. Chhibbar will be 30% vested in the award immediately after the change in control. In addition, all of Mr. Chhibbar’s outstanding equity awards will become fully vested if, following or in specific contemplation of a change in control, he is terminated without cause or voluntarily terminates his employment for good reason (as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1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crime of moral turpitude which causes serious economic injury or serious injury to our reputation or a felony;</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Chhibbar engages in fraud, embezzlement, gross negligence, self-dealing,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Chhibbar materially violates any of our material policies;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Chhibbar willfully fails to perform his duties (other than for reason of physical or mental incapacity) after we notify him in writing of his need to substantially improve his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Chhibbar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Chhibbar materially, knowingly and intentionally fails to comply with certain applicable laws;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Chhibbar fails to follow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Chhibbar’s use of alcohol or drugs materially interferes with the performance of his duties.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Chhibbar’s duties or responsibilities are substantially reduced, or he is required to report to anyone other than our board of directors, president or chief executive officer;</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Chhibbar’s title as our officer is adversely changed, except if the change occurs after a change in control (as defined in the 2006 Plan) and his new title and duties are similar to his old title and duties;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Chhibbar’s base salary or annual cash bonus opportunity is reduced, other than a proportionate reduction impact all members of our executive committee;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breach any material term of Mr. Chhibbar’s employment letters.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Chhibbar upon a change in control or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w:t>
            </w: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Reason</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following</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Following</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35"/>
        </w:trPr>
        <w:tc>
          <w:tcPr>
            <w:tcW w:w="444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Employment</w:t>
            </w:r>
          </w:p>
        </w:tc>
        <w:tc>
          <w:tcPr>
            <w:tcW w:w="2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Without</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Change in</w:t>
            </w: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Change in</w:t>
            </w:r>
          </w:p>
        </w:tc>
        <w:tc>
          <w:tcPr>
            <w:tcW w:w="9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7"/>
              </w:rPr>
              <w:t>Death    Disability</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cause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Control</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2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$295,508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$295,508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$295,508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$85,600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$856,600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$856,600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required payouts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35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Either Mr. Bagai or we may terminate Mr. Bagai’s employment at any time. If we terminate Mr. Bagai’s employment without cause (as described below) and without three months advance notice, we will be required to pay Mr. Bagai his then-current fixed compensation rate for three months following his termination. On a change in control (as summarized under the heading “Change in Control Severance” on page 32), the vesting of all of Mr. Bagai’s outstanding equity awards will be advanced by one year. For example, if one of Mr. Bagai’s awards was following Standard Graded Vesting and he had been 10% vested in the award immediately prior to the change in control, Mr. Bagai will be 30% vested in the award immediately after the change in control. In addition, all of</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Bagai’s outstanding equity awards will become fully vested if, following or in specific contemplation of a change in control, he is terminated without cause or voluntarily terminates his employment for good reason (as described below).</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5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Bagai’s duties or responsibilities are substantially diminished,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Bagai upon a change in control or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Following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4"/>
              </w:rPr>
              <w:t>following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35"/>
        </w:trPr>
        <w:tc>
          <w:tcPr>
            <w:tcW w:w="398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pay in lieu</w:t>
            </w:r>
          </w:p>
        </w:tc>
        <w:tc>
          <w:tcPr>
            <w:tcW w:w="2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1"/>
                <w:szCs w:val="11"/>
                <w:color w:val="auto"/>
              </w:rPr>
            </w:pPr>
          </w:p>
        </w:tc>
        <w:tc>
          <w:tcPr>
            <w:tcW w:w="8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5"/>
              <w:spacing w:after="0" w:line="135" w:lineRule="exact"/>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Death</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Disability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of notice</w:t>
            </w:r>
          </w:p>
        </w:tc>
        <w:tc>
          <w:tcPr>
            <w:tcW w:w="2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5"/>
              <w:spacing w:after="0"/>
              <w:rPr>
                <w:sz w:val="20"/>
                <w:szCs w:val="20"/>
                <w:color w:val="auto"/>
              </w:rPr>
            </w:pPr>
            <w:r>
              <w:rPr>
                <w:rFonts w:ascii="Arial" w:cs="Arial" w:eastAsia="Arial" w:hAnsi="Arial"/>
                <w:sz w:val="14"/>
                <w:szCs w:val="14"/>
                <w:b w:val="1"/>
                <w:bCs w:val="1"/>
                <w:color w:val="auto"/>
                <w:w w:val="88"/>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$ 127,000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592,300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$ 154,275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517,275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517,275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required payouts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$ 37,972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$ 37,972</w:t>
            </w: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Either Mr. de Villa or we may terminate Mr. de Villa’s employment at any time. If we terminate Mr. de Villa’s employment without cause (as described below), we will be required to pay Mr. de Villa his then-current base salary for three months following his termination through our regular payroll practices. On a change in control (as defined in the 2006 Plan, which is summarized under the heading “Change in Control Severance” on page 32), the vesting of all of Mr. de Villa’s outstanding equity awards will be advanced by one year.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example, if one of Mr. de Villa’s awards was following Standard Graded Vesting and he had been 10% vested in the award immediately prior to the change in control, Mr. de Villa will be 30% vested in the award immediately after the change in control. In addition, all of Mr. de Villa’s outstanding equity awards will become fully vested if, following or in specific contemplation of a change in control, he is terminated without cause or voluntarily terminates his employment for good reason (as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serious injury to our reputation;</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de Villa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de Villa materially violates any of our material policies or materially, knowingly and intentionally fails to comply with certain applicable laws;</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de Villa willfully fails to perform his duties for 15 days (other than for reason of physical or mental incapacity) after we notify him in writing of his need to substantially improve his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de Villa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de Villa fails to follow our board of director’s lawful instructions and does not remedy the failure for 15 days after we give him written notice;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de Villa’s use of alcohol or drugs materially interferes with the performance of his duties.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4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de Villa’s duties or responsibilities are substantially diminished,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Rembert de Villa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de Villa upon a change in control or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Without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for Good</w:t>
            </w:r>
          </w:p>
        </w:tc>
        <w:tc>
          <w:tcPr>
            <w:tcW w:w="3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Cause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2"/>
              </w:rPr>
              <w:t>Reason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3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Following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4"/>
              </w:rPr>
              <w:t>following</w:t>
            </w:r>
          </w:p>
        </w:tc>
        <w:tc>
          <w:tcPr>
            <w:tcW w:w="3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35"/>
        </w:trPr>
        <w:tc>
          <w:tcPr>
            <w:tcW w:w="35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46"/>
              <w:spacing w:after="0" w:line="135" w:lineRule="exact"/>
              <w:rPr>
                <w:sz w:val="20"/>
                <w:szCs w:val="20"/>
                <w:color w:val="auto"/>
              </w:rPr>
            </w:pPr>
            <w:r>
              <w:rPr>
                <w:rFonts w:ascii="Arial" w:cs="Arial" w:eastAsia="Arial" w:hAnsi="Arial"/>
                <w:sz w:val="14"/>
                <w:szCs w:val="14"/>
                <w:b w:val="1"/>
                <w:bCs w:val="1"/>
                <w:color w:val="auto"/>
                <w:w w:val="88"/>
              </w:rPr>
              <w:t>without</w:t>
            </w:r>
          </w:p>
        </w:tc>
        <w:tc>
          <w:tcPr>
            <w:tcW w:w="3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Change in</w:t>
            </w:r>
          </w:p>
        </w:tc>
        <w:tc>
          <w:tcPr>
            <w:tcW w:w="380" w:type="dxa"/>
            <w:vAlign w:val="bottom"/>
          </w:tcPr>
          <w:p>
            <w:pPr>
              <w:spacing w:after="0"/>
              <w:rPr>
                <w:sz w:val="11"/>
                <w:szCs w:val="11"/>
                <w:color w:val="auto"/>
              </w:rPr>
            </w:pPr>
          </w:p>
        </w:tc>
        <w:tc>
          <w:tcPr>
            <w:tcW w:w="92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3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20"/>
                <w:szCs w:val="20"/>
                <w:color w:val="auto"/>
              </w:rPr>
            </w:pPr>
            <w:r>
              <w:rPr>
                <w:rFonts w:ascii="Arial" w:cs="Arial" w:eastAsia="Arial" w:hAnsi="Arial"/>
                <w:sz w:val="14"/>
                <w:szCs w:val="14"/>
                <w:b w:val="1"/>
                <w:bCs w:val="1"/>
                <w:color w:val="auto"/>
                <w:w w:val="82"/>
              </w:rPr>
              <w:t>Death</w:t>
            </w:r>
          </w:p>
        </w:tc>
        <w:tc>
          <w:tcPr>
            <w:tcW w:w="3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Disability</w:t>
            </w:r>
          </w:p>
        </w:tc>
        <w:tc>
          <w:tcPr>
            <w:tcW w:w="3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6"/>
              <w:spacing w:after="0"/>
              <w:rPr>
                <w:sz w:val="20"/>
                <w:szCs w:val="20"/>
                <w:color w:val="auto"/>
              </w:rPr>
            </w:pPr>
            <w:r>
              <w:rPr>
                <w:rFonts w:ascii="Arial" w:cs="Arial" w:eastAsia="Arial" w:hAnsi="Arial"/>
                <w:sz w:val="14"/>
                <w:szCs w:val="14"/>
                <w:b w:val="1"/>
                <w:bCs w:val="1"/>
                <w:color w:val="auto"/>
                <w:w w:val="80"/>
              </w:rPr>
              <w:t>cause</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Control</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Control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Control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2"/>
              </w:rPr>
              <w:t>$ 47,000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470,000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9"/>
              </w:rPr>
              <w:t>Restricted stock (unvested and accelerated)</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center"/>
              <w:ind w:left="292"/>
              <w:spacing w:after="0"/>
              <w:rPr>
                <w:sz w:val="20"/>
                <w:szCs w:val="20"/>
                <w:color w:val="auto"/>
              </w:rPr>
            </w:pPr>
            <w:r>
              <w:rPr>
                <w:rFonts w:ascii="Arial" w:cs="Arial" w:eastAsia="Arial" w:hAnsi="Arial"/>
                <w:sz w:val="18"/>
                <w:szCs w:val="18"/>
                <w:color w:val="auto"/>
                <w:w w:val="82"/>
              </w:rPr>
              <w:t>$ 14,800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66,600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66,600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2009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Non-Equity</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Paid in</w:t>
            </w:r>
          </w:p>
        </w:tc>
        <w:tc>
          <w:tcPr>
            <w:tcW w:w="46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Deferred</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46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6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880" w:type="dxa"/>
            <w:vAlign w:val="bottom"/>
            <w:gridSpan w:val="3"/>
            <w:vMerge w:val="continue"/>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375"/>
              <w:spacing w:after="0" w:line="135"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1300" w:type="dxa"/>
            <w:vAlign w:val="bottom"/>
            <w:gridSpan w:val="2"/>
          </w:tcPr>
          <w:p>
            <w:pPr>
              <w:jc w:val="center"/>
              <w:ind w:left="392"/>
              <w:spacing w:after="0" w:line="135" w:lineRule="exact"/>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5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4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(c)(1)(3)</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(d)(2)(3)</w:t>
            </w:r>
          </w:p>
        </w:tc>
        <w:tc>
          <w:tcPr>
            <w:tcW w:w="4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7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38,360</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67,097</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720" w:type="dxa"/>
            <w:vAlign w:val="bottom"/>
          </w:tcPr>
          <w:p>
            <w:pPr>
              <w:jc w:val="right"/>
              <w:spacing w:after="0"/>
              <w:rPr>
                <w:sz w:val="20"/>
                <w:szCs w:val="20"/>
                <w:color w:val="auto"/>
              </w:rPr>
            </w:pPr>
            <w:r>
              <w:rPr>
                <w:rFonts w:ascii="Arial" w:cs="Arial" w:eastAsia="Arial" w:hAnsi="Arial"/>
                <w:sz w:val="18"/>
                <w:szCs w:val="18"/>
                <w:color w:val="auto"/>
              </w:rPr>
              <w:t>31,250</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7"/>
              </w:rPr>
              <w:t>62,079</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33,548</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126,877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7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42,960</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72,463</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7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7"/>
              </w:rPr>
              <w:t>61,740</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59,045</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7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61,740</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56,360</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Kiran Karnik(4)</w:t>
            </w:r>
          </w:p>
        </w:tc>
        <w:tc>
          <w:tcPr>
            <w:tcW w:w="7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7"/>
              </w:rPr>
              <w:t>54,860</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42,932</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W. Ostler</w:t>
            </w:r>
          </w:p>
        </w:tc>
        <w:tc>
          <w:tcPr>
            <w:tcW w:w="7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71,360</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67,097</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20" w:hanging="332"/>
        <w:spacing w:after="0" w:line="29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in column (c) reflect the grant date fair value of awards recognized for financial statement reporting purposes for the fiscal year ended December 31, 2009, in accordance with FASB ASC Topic 718 (disregarding any forfeiture assumptions). Assumptions used in the calculation of these amounts are included in footnotes 2 and 13 to our audited financial statements for the fiscal year ended December 31, 2009 included in our Annual Report on Form 10-K filed with the Securities and Exchange Commission on March 16, 2010. As of December 31, 2009, Messrs. Staglin, Sawhney, Kelso, Gruber and Dardani each held 16,000 restricted stock units, of which 4,000 of those held by each such director were unvested, Mr. Ostler held 8,000 restricted stock units, 4,000 of which are unvested and Mr. Karnik held 4,000 restricted stock units, all of which are unvested.</w:t>
      </w:r>
    </w:p>
    <w:p>
      <w:pPr>
        <w:spacing w:after="0" w:line="25" w:lineRule="exact"/>
        <w:rPr>
          <w:rFonts w:ascii="Arial" w:cs="Arial" w:eastAsia="Arial" w:hAnsi="Arial"/>
          <w:sz w:val="16"/>
          <w:szCs w:val="16"/>
          <w:color w:val="auto"/>
        </w:rPr>
      </w:pPr>
    </w:p>
    <w:p>
      <w:pPr>
        <w:ind w:left="340" w:right="40" w:hanging="332"/>
        <w:spacing w:after="0" w:line="256"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column (d) reflect the grant date fair value of awards recognized for financial statement reporting purposes for the fiscal year ended December 31, 2009, in accordance with FASB ASC Topic 718 (disregarding any forfeiture assumptions). Assumptions used in the calculation of this amount are included in footnotes 2 and 13 to our audited financial statements for the fiscal year ended December 31, 2009 included in our Annual Report on Form 10-K filed with the Securities and Exchange Commission on March 16, 2009.</w:t>
      </w:r>
    </w:p>
    <w:p>
      <w:pPr>
        <w:spacing w:after="0" w:line="48" w:lineRule="exact"/>
        <w:rPr>
          <w:rFonts w:ascii="Arial" w:cs="Arial" w:eastAsia="Arial" w:hAnsi="Arial"/>
          <w:sz w:val="18"/>
          <w:szCs w:val="18"/>
          <w:color w:val="auto"/>
        </w:rPr>
      </w:pPr>
    </w:p>
    <w:p>
      <w:pPr>
        <w:ind w:left="340" w:right="20" w:hanging="332"/>
        <w:spacing w:after="0" w:line="26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grant date fair value of the unvested stock awards, and unexercised option awards granted in 2009, determined in accordance with FASB ASC Topic 718 (disregarding any forfeiture assumptions) is set forth in the table below:</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00" w:type="dxa"/>
            <w:vAlign w:val="bottom"/>
            <w:gridSpan w:val="3"/>
          </w:tcPr>
          <w:p>
            <w:pPr>
              <w:ind w:left="80"/>
              <w:spacing w:after="0"/>
              <w:rPr>
                <w:sz w:val="20"/>
                <w:szCs w:val="20"/>
                <w:color w:val="auto"/>
              </w:rPr>
            </w:pPr>
            <w:r>
              <w:rPr>
                <w:rFonts w:ascii="Arial" w:cs="Arial" w:eastAsia="Arial" w:hAnsi="Arial"/>
                <w:sz w:val="14"/>
                <w:szCs w:val="14"/>
                <w:b w:val="1"/>
                <w:bCs w:val="1"/>
                <w:color w:val="auto"/>
              </w:rPr>
              <w:t>Grants Made in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Grant Date Fair Value</w:t>
            </w:r>
          </w:p>
        </w:tc>
        <w:tc>
          <w:tcPr>
            <w:tcW w:w="13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Grant Date 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40" w:type="dxa"/>
            <w:vAlign w:val="bottom"/>
          </w:tcPr>
          <w:p>
            <w:pPr>
              <w:spacing w:after="0"/>
              <w:rPr>
                <w:sz w:val="14"/>
                <w:szCs w:val="14"/>
                <w:color w:val="auto"/>
              </w:rPr>
            </w:pPr>
          </w:p>
        </w:tc>
        <w:tc>
          <w:tcPr>
            <w:tcW w:w="130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of Stock Awards ($)</w:t>
            </w:r>
          </w:p>
        </w:tc>
        <w:tc>
          <w:tcPr>
            <w:tcW w:w="138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of Option 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62,079</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33,548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42,960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61,740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59,045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61,740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Kiran Karnik</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54,860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42,932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W. Ostler</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71,360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Pr>
          <w:p>
            <w:pPr>
              <w:jc w:val="right"/>
              <w:ind w:right="1092"/>
              <w:spacing w:after="0"/>
              <w:rPr>
                <w:sz w:val="20"/>
                <w:szCs w:val="20"/>
                <w:color w:val="auto"/>
              </w:rPr>
            </w:pPr>
            <w:r>
              <w:rPr>
                <w:rFonts w:ascii="Arial" w:cs="Arial" w:eastAsia="Arial" w:hAnsi="Arial"/>
                <w:sz w:val="18"/>
                <w:szCs w:val="18"/>
                <w:color w:val="auto"/>
              </w:rPr>
              <w:t>38</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Director Equity Awards For Fiscal Year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No. of</w:t>
            </w:r>
          </w:p>
        </w:tc>
        <w:tc>
          <w:tcPr>
            <w:tcW w:w="960" w:type="dxa"/>
            <w:vAlign w:val="bottom"/>
          </w:tcPr>
          <w:p>
            <w:pPr>
              <w:spacing w:after="0"/>
              <w:rPr>
                <w:sz w:val="14"/>
                <w:szCs w:val="1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5"/>
              </w:rPr>
              <w:t>No. of</w:t>
            </w: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96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tcPr>
          <w:p>
            <w:pPr>
              <w:spacing w:after="0"/>
              <w:rPr>
                <w:sz w:val="12"/>
                <w:szCs w:val="12"/>
                <w:color w:val="auto"/>
              </w:rPr>
            </w:pP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Unexercised</w:t>
            </w:r>
          </w:p>
        </w:tc>
        <w:tc>
          <w:tcPr>
            <w:tcW w:w="960" w:type="dxa"/>
            <w:vAlign w:val="bottom"/>
          </w:tcPr>
          <w:p>
            <w:pPr>
              <w:spacing w:after="0"/>
              <w:rPr>
                <w:sz w:val="12"/>
                <w:szCs w:val="12"/>
                <w:color w:val="auto"/>
              </w:rPr>
            </w:pP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960" w:type="dxa"/>
            <w:vAlign w:val="bottom"/>
          </w:tcPr>
          <w:p>
            <w:pPr>
              <w:spacing w:after="0"/>
              <w:rPr>
                <w:sz w:val="12"/>
                <w:szCs w:val="12"/>
                <w:color w:val="auto"/>
              </w:rPr>
            </w:pP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Options</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780" w:type="dxa"/>
            <w:vAlign w:val="bottom"/>
            <w:gridSpan w:val="2"/>
          </w:tcPr>
          <w:p>
            <w:pPr>
              <w:jc w:val="center"/>
              <w:ind w:left="895"/>
              <w:spacing w:after="0" w:line="149" w:lineRule="exact"/>
              <w:rPr>
                <w:sz w:val="20"/>
                <w:szCs w:val="20"/>
                <w:color w:val="auto"/>
              </w:rPr>
            </w:pPr>
            <w:r>
              <w:rPr>
                <w:rFonts w:ascii="Arial" w:cs="Arial" w:eastAsia="Arial" w:hAnsi="Arial"/>
                <w:sz w:val="14"/>
                <w:szCs w:val="14"/>
                <w:b w:val="1"/>
                <w:bCs w:val="1"/>
                <w:color w:val="auto"/>
                <w:w w:val="93"/>
              </w:rPr>
              <w:t>(#)</w:t>
            </w:r>
          </w:p>
        </w:tc>
        <w:tc>
          <w:tcPr>
            <w:tcW w:w="960" w:type="dxa"/>
            <w:vAlign w:val="bottom"/>
          </w:tcPr>
          <w:p>
            <w:pPr>
              <w:spacing w:after="0"/>
              <w:rPr>
                <w:sz w:val="12"/>
                <w:szCs w:val="12"/>
                <w:color w:val="auto"/>
              </w:rPr>
            </w:pPr>
          </w:p>
        </w:tc>
        <w:tc>
          <w:tcPr>
            <w:tcW w:w="1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No. of Shares or Units of Stock</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960" w:type="dxa"/>
            <w:vAlign w:val="bottom"/>
          </w:tcPr>
          <w:p>
            <w:pPr>
              <w:spacing w:after="0"/>
              <w:rPr>
                <w:sz w:val="14"/>
                <w:szCs w:val="1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Unexercisable</w:t>
            </w: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That Have Not 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46,892</w:t>
            </w:r>
          </w:p>
        </w:tc>
        <w:tc>
          <w:tcPr>
            <w:tcW w:w="2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700" w:type="dxa"/>
            <w:vAlign w:val="bottom"/>
          </w:tcPr>
          <w:p>
            <w:pPr>
              <w:jc w:val="right"/>
              <w:spacing w:after="0"/>
              <w:rPr>
                <w:sz w:val="20"/>
                <w:szCs w:val="20"/>
                <w:color w:val="auto"/>
              </w:rPr>
            </w:pPr>
            <w:r>
              <w:rPr>
                <w:rFonts w:ascii="Arial" w:cs="Arial" w:eastAsia="Arial" w:hAnsi="Arial"/>
                <w:sz w:val="18"/>
                <w:szCs w:val="18"/>
                <w:color w:val="auto"/>
              </w:rPr>
              <w:t>38,446</w:t>
            </w:r>
          </w:p>
        </w:tc>
        <w:tc>
          <w:tcPr>
            <w:tcW w:w="2740" w:type="dxa"/>
            <w:vAlign w:val="bottom"/>
            <w:gridSpan w:val="3"/>
          </w:tcPr>
          <w:p>
            <w:pPr>
              <w:jc w:val="right"/>
              <w:ind w:right="960"/>
              <w:spacing w:after="0"/>
              <w:rPr>
                <w:sz w:val="20"/>
                <w:szCs w:val="20"/>
                <w:color w:val="auto"/>
              </w:rPr>
            </w:pPr>
            <w:r>
              <w:rPr>
                <w:rFonts w:ascii="Arial" w:cs="Arial" w:eastAsia="Arial" w:hAnsi="Arial"/>
                <w:sz w:val="18"/>
                <w:szCs w:val="18"/>
                <w:color w:val="auto"/>
              </w:rPr>
              <w:t>0</w:t>
            </w:r>
          </w:p>
        </w:tc>
        <w:tc>
          <w:tcPr>
            <w:tcW w:w="178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40,743</w:t>
            </w:r>
          </w:p>
        </w:tc>
        <w:tc>
          <w:tcPr>
            <w:tcW w:w="2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7,500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700" w:type="dxa"/>
            <w:vAlign w:val="bottom"/>
          </w:tcPr>
          <w:p>
            <w:pPr>
              <w:jc w:val="right"/>
              <w:spacing w:after="0"/>
              <w:rPr>
                <w:sz w:val="20"/>
                <w:szCs w:val="20"/>
                <w:color w:val="auto"/>
              </w:rPr>
            </w:pPr>
            <w:r>
              <w:rPr>
                <w:rFonts w:ascii="Arial" w:cs="Arial" w:eastAsia="Arial" w:hAnsi="Arial"/>
                <w:sz w:val="18"/>
                <w:szCs w:val="18"/>
                <w:color w:val="auto"/>
              </w:rPr>
              <w:t>14,865</w:t>
            </w:r>
          </w:p>
        </w:tc>
        <w:tc>
          <w:tcPr>
            <w:tcW w:w="2740" w:type="dxa"/>
            <w:vAlign w:val="bottom"/>
            <w:gridSpan w:val="3"/>
          </w:tcPr>
          <w:p>
            <w:pPr>
              <w:jc w:val="right"/>
              <w:ind w:right="960"/>
              <w:spacing w:after="0"/>
              <w:rPr>
                <w:sz w:val="20"/>
                <w:szCs w:val="20"/>
                <w:color w:val="auto"/>
              </w:rPr>
            </w:pPr>
            <w:r>
              <w:rPr>
                <w:rFonts w:ascii="Arial" w:cs="Arial" w:eastAsia="Arial" w:hAnsi="Arial"/>
                <w:sz w:val="18"/>
                <w:szCs w:val="18"/>
                <w:color w:val="auto"/>
              </w:rPr>
              <w:t>0</w:t>
            </w:r>
          </w:p>
        </w:tc>
        <w:tc>
          <w:tcPr>
            <w:tcW w:w="178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2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Kiran Karnik</w:t>
            </w:r>
          </w:p>
        </w:tc>
        <w:tc>
          <w:tcPr>
            <w:tcW w:w="700" w:type="dxa"/>
            <w:vAlign w:val="bottom"/>
          </w:tcPr>
          <w:p>
            <w:pPr>
              <w:jc w:val="right"/>
              <w:spacing w:after="0"/>
              <w:rPr>
                <w:sz w:val="20"/>
                <w:szCs w:val="20"/>
                <w:color w:val="auto"/>
              </w:rPr>
            </w:pPr>
            <w:r>
              <w:rPr>
                <w:rFonts w:ascii="Arial" w:cs="Arial" w:eastAsia="Arial" w:hAnsi="Arial"/>
                <w:sz w:val="18"/>
                <w:szCs w:val="18"/>
                <w:color w:val="auto"/>
              </w:rPr>
              <w:t>19,662</w:t>
            </w:r>
          </w:p>
        </w:tc>
        <w:tc>
          <w:tcPr>
            <w:tcW w:w="2740" w:type="dxa"/>
            <w:vAlign w:val="bottom"/>
            <w:gridSpan w:val="3"/>
          </w:tcPr>
          <w:p>
            <w:pPr>
              <w:jc w:val="right"/>
              <w:ind w:right="960"/>
              <w:spacing w:after="0"/>
              <w:rPr>
                <w:sz w:val="20"/>
                <w:szCs w:val="20"/>
                <w:color w:val="auto"/>
              </w:rPr>
            </w:pPr>
            <w:r>
              <w:rPr>
                <w:rFonts w:ascii="Arial" w:cs="Arial" w:eastAsia="Arial" w:hAnsi="Arial"/>
                <w:sz w:val="18"/>
                <w:szCs w:val="18"/>
                <w:color w:val="auto"/>
              </w:rPr>
              <w:t>22,500</w:t>
            </w:r>
          </w:p>
        </w:tc>
        <w:tc>
          <w:tcPr>
            <w:tcW w:w="178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W. Ostler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2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15,000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Non-employee directors are eligible to receive an annual retainer fee in the amount of $45,000. New non-employee directors who join our board of directors during a calendar quarter are eligible to receive the full fee for such calendar quarter. The chairperson of our Audit Committee is eligible to receive an additional annual fee of $15,000, and other members of our Audit Committee are eligible to receive an additional annual fee of $10,000. The Chairpersons of committees other than our Audit Committee are eligible to receive an additional annual fee of $10,000, and members of committees other than our Audit Committee are eligible to receive an additional annual fee of $7,500. There are no additional fees payable for attendance at our board or committee meetings (whether in person, telephonic or otherwise). Each member of the board of directors may elect to receive all or a portion of his or her annual fees earned for service on the board of directors during a subsequent calendar year, whether as part of the annual retainer or committee chairperson fee or otherwise, that would otherwise be payable in cash, in the form of a grant of stock options under the 2006 Plan. We make quarterly cash payments to our directors who elect to receive a portion of their director fees in the form of cash.</w:t>
      </w:r>
    </w:p>
    <w:p>
      <w:pPr>
        <w:spacing w:after="0" w:line="120"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Directors who elect to receive any portion of their cash director fees in the form of stock options receive a stock option grant effective as of the first business day of the following year. Each stock option grant (i) has a per share exercise price equal to the fair market value of a share of company common stock on the date of grant (under the 2006 Plan, this is currently determined as the average of the high and low prices on the trading day prior to the date of grant),</w:t>
      </w:r>
    </w:p>
    <w:p>
      <w:pPr>
        <w:spacing w:after="0" w:line="1" w:lineRule="exact"/>
        <w:rPr>
          <w:sz w:val="20"/>
          <w:szCs w:val="20"/>
          <w:color w:val="auto"/>
        </w:rPr>
      </w:pPr>
    </w:p>
    <w:p>
      <w:pPr>
        <w:ind w:right="100" w:firstLine="8"/>
        <w:spacing w:after="0" w:line="254"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vests and becomes exercisable on December 31 of the year in which the option is granted, subject to the individual remaining as a member of the board of directors on such date, and (iii) otherwise is subject to the terms and conditions of the 2006 Plan. The number of shares of our common stock subject to the stock option will be determined such that the Black-Scholes value (as determined by us) of the stock option is equal to the dollar amount of director fees the director is electing to receive as a stock option.</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non-employee director received a grant on the anniversary of his board service date of restricted stock units representing 4,000 shares of our common stock. The grants provide that the restricted stock units will vest on the earlier of:</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end of the reporting person’s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 of common stock until the units have vested and are settled. The restricted stock units issued to each of our non-employee directors will settle on the earlier of:</w:t>
      </w:r>
    </w:p>
    <w:p>
      <w:pPr>
        <w:spacing w:after="0" w:line="5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occurrence of a “change in control,” as defined in the 2006 Plan that satisfies the requirements of Section 409A of the Code;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conducted an analysis of our compensation practices to determine whether our compensation practices promote the taking of risks that could have a material adverse effect on us, which was shared with our board of directors. The analysis took into account (1) the multiple performance targets that must be satisfied by any individual (whether a named executive officer or not) in order for target incentive pay to be earned, (2) the fact that our Compensation Committee has the power to reduce bonus awards in response to actions taken by individual members of management that could increase risk to us, (3) the active participation of our Head of Internal Audit in significant management decisions and (4) the limitations imposed on management from making material decisions on our behalf without the approval of our board of directors (such as taking on debt or engaging in acquisitions). Our board of directors has taken into account its discussions with management regarding our compensation practices, including the factors described above, and has concluded that any risks arising from our compensation policies and practices are not reasonably likely to have a material adverse effect on us.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Unless otherwise indicated, the table below sets forth, as of February 26, 2010, information with respect to the beneficial ownership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amounts and percentages of common stock beneficially owned as of February 26, 2010,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February 26, 2010. Under these rules, more than one person may be deemed to be a beneficial owner of the same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2520" w:type="dxa"/>
            <w:vAlign w:val="bottom"/>
            <w:gridSpan w:val="4"/>
          </w:tcPr>
          <w:p>
            <w:pPr>
              <w:ind w:left="64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8920" w:type="dxa"/>
            <w:vAlign w:val="bottom"/>
            <w:gridSpan w:val="3"/>
            <w:vMerge w:val="continue"/>
          </w:tcPr>
          <w:p>
            <w:pPr>
              <w:spacing w:after="0"/>
              <w:rPr>
                <w:sz w:val="12"/>
                <w:szCs w:val="12"/>
                <w:color w:val="auto"/>
              </w:rPr>
            </w:pPr>
          </w:p>
        </w:tc>
        <w:tc>
          <w:tcPr>
            <w:tcW w:w="8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 (%)(2)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6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10,542,504</w:t>
            </w:r>
          </w:p>
        </w:tc>
        <w:tc>
          <w:tcPr>
            <w:tcW w:w="6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Blackrock, Inc.(4)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3,335,056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2,677,459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Vikram Talwar(6)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1,777,673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2,083,785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Pavan Bagai(8)</w:t>
            </w:r>
          </w:p>
        </w:tc>
        <w:tc>
          <w:tcPr>
            <w:tcW w:w="800" w:type="dxa"/>
            <w:vAlign w:val="bottom"/>
          </w:tcPr>
          <w:p>
            <w:pPr>
              <w:jc w:val="right"/>
              <w:spacing w:after="0"/>
              <w:rPr>
                <w:sz w:val="20"/>
                <w:szCs w:val="20"/>
                <w:color w:val="auto"/>
              </w:rPr>
            </w:pPr>
            <w:r>
              <w:rPr>
                <w:rFonts w:ascii="Arial" w:cs="Arial" w:eastAsia="Arial" w:hAnsi="Arial"/>
                <w:sz w:val="18"/>
                <w:szCs w:val="18"/>
                <w:color w:val="auto"/>
              </w:rPr>
              <w:t>98,984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Shashank(9)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Krishna Nacha(10)</w:t>
            </w:r>
          </w:p>
        </w:tc>
        <w:tc>
          <w:tcPr>
            <w:tcW w:w="800" w:type="dxa"/>
            <w:vAlign w:val="bottom"/>
          </w:tcPr>
          <w:p>
            <w:pPr>
              <w:jc w:val="right"/>
              <w:spacing w:after="0"/>
              <w:rPr>
                <w:sz w:val="20"/>
                <w:szCs w:val="20"/>
                <w:color w:val="auto"/>
              </w:rPr>
            </w:pPr>
            <w:r>
              <w:rPr>
                <w:rFonts w:ascii="Arial" w:cs="Arial" w:eastAsia="Arial" w:hAnsi="Arial"/>
                <w:sz w:val="18"/>
                <w:szCs w:val="18"/>
                <w:color w:val="auto"/>
              </w:rPr>
              <w:t>22,975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Vikas Bhalla(11)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Rembert de Villa(12)</w:t>
            </w:r>
          </w:p>
        </w:tc>
        <w:tc>
          <w:tcPr>
            <w:tcW w:w="800" w:type="dxa"/>
            <w:vAlign w:val="bottom"/>
          </w:tcPr>
          <w:p>
            <w:pPr>
              <w:jc w:val="right"/>
              <w:spacing w:after="0"/>
              <w:rPr>
                <w:sz w:val="20"/>
                <w:szCs w:val="20"/>
                <w:color w:val="auto"/>
              </w:rPr>
            </w:pPr>
            <w:r>
              <w:rPr>
                <w:rFonts w:ascii="Arial" w:cs="Arial" w:eastAsia="Arial" w:hAnsi="Arial"/>
                <w:sz w:val="18"/>
                <w:szCs w:val="18"/>
                <w:color w:val="auto"/>
              </w:rPr>
              <w:t>10,070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Matthew Appel(13)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Edward V. Dardani(15)</w:t>
            </w:r>
          </w:p>
        </w:tc>
        <w:tc>
          <w:tcPr>
            <w:tcW w:w="800" w:type="dxa"/>
            <w:vAlign w:val="bottom"/>
          </w:tcPr>
          <w:p>
            <w:pPr>
              <w:jc w:val="right"/>
              <w:spacing w:after="0"/>
              <w:rPr>
                <w:sz w:val="20"/>
                <w:szCs w:val="20"/>
                <w:color w:val="auto"/>
              </w:rPr>
            </w:pPr>
            <w:r>
              <w:rPr>
                <w:rFonts w:ascii="Arial" w:cs="Arial" w:eastAsia="Arial" w:hAnsi="Arial"/>
                <w:sz w:val="18"/>
                <w:szCs w:val="18"/>
                <w:color w:val="auto"/>
              </w:rPr>
              <w:t>14,189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Kiran Karnik(16)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David B. Kelso(17)</w:t>
            </w:r>
          </w:p>
        </w:tc>
        <w:tc>
          <w:tcPr>
            <w:tcW w:w="800" w:type="dxa"/>
            <w:vAlign w:val="bottom"/>
          </w:tcPr>
          <w:p>
            <w:pPr>
              <w:jc w:val="right"/>
              <w:spacing w:after="0"/>
              <w:rPr>
                <w:sz w:val="20"/>
                <w:szCs w:val="20"/>
                <w:color w:val="auto"/>
              </w:rPr>
            </w:pPr>
            <w:r>
              <w:rPr>
                <w:rFonts w:ascii="Arial" w:cs="Arial" w:eastAsia="Arial" w:hAnsi="Arial"/>
                <w:sz w:val="18"/>
                <w:szCs w:val="18"/>
                <w:color w:val="auto"/>
              </w:rPr>
              <w:t>45,743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W. Ostler(18)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Dr. Mohanbir Sawhney(19)</w:t>
            </w:r>
          </w:p>
        </w:tc>
        <w:tc>
          <w:tcPr>
            <w:tcW w:w="800" w:type="dxa"/>
            <w:vAlign w:val="bottom"/>
          </w:tcPr>
          <w:p>
            <w:pPr>
              <w:jc w:val="right"/>
              <w:spacing w:after="0"/>
              <w:rPr>
                <w:sz w:val="20"/>
                <w:szCs w:val="20"/>
                <w:color w:val="auto"/>
              </w:rPr>
            </w:pPr>
            <w:r>
              <w:rPr>
                <w:rFonts w:ascii="Arial" w:cs="Arial" w:eastAsia="Arial" w:hAnsi="Arial"/>
                <w:sz w:val="18"/>
                <w:szCs w:val="18"/>
                <w:color w:val="auto"/>
              </w:rPr>
              <w:t>38,446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(16 persons)(21)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4,367,630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280 Park Avenue, New York, New York 10017.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29,075,998 shares outstanding as of February 26,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line="289"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business address of the Oak Hill Partnerships is 201 Main Street, Suite 1620, Fort Worth, TX 76102. This amount includes an aggregate of 10,278,942 shares of our common stock held by Oak Hill Capital Partners, L.P. and 263,562 shares of our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w:t>
      </w:r>
    </w:p>
    <w:p>
      <w:pPr>
        <w:spacing w:after="0" w:line="23" w:lineRule="exact"/>
        <w:rPr>
          <w:rFonts w:ascii="Arial" w:cs="Arial" w:eastAsia="Arial" w:hAnsi="Arial"/>
          <w:sz w:val="16"/>
          <w:szCs w:val="16"/>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the Schedule 13G/A filed on January 8, 2010. The business address of Blackrock, Inc. is 40 East 52nd Street, New York, NY 10022.</w:t>
      </w:r>
    </w:p>
    <w:p>
      <w:pPr>
        <w:spacing w:after="0" w:line="99" w:lineRule="exact"/>
        <w:rPr>
          <w:rFonts w:ascii="Arial" w:cs="Arial" w:eastAsia="Arial" w:hAnsi="Arial"/>
          <w:sz w:val="16"/>
          <w:szCs w:val="16"/>
          <w:color w:val="auto"/>
        </w:rPr>
      </w:pPr>
    </w:p>
    <w:p>
      <w:pPr>
        <w:ind w:left="580" w:right="12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Schedule 13G filed on February 12, 2010. The business address of Wellington Management Company, LLP is 75 State Street, Boston, MA 02109.</w:t>
      </w:r>
    </w:p>
    <w:p>
      <w:pPr>
        <w:spacing w:after="0" w:line="37" w:lineRule="exact"/>
        <w:rPr>
          <w:rFonts w:ascii="Arial" w:cs="Arial" w:eastAsia="Arial" w:hAnsi="Arial"/>
          <w:sz w:val="18"/>
          <w:szCs w:val="18"/>
          <w:color w:val="auto"/>
        </w:rPr>
      </w:pPr>
    </w:p>
    <w:p>
      <w:pPr>
        <w:ind w:left="580" w:right="80" w:hanging="572"/>
        <w:spacing w:after="0" w:line="288"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Talwar through a spousal lifetime access trust. Mr. Talwar’s spouse and Mr. Kapoor are the trustees of this trust and share dispositive and voting control over the shares in the trust. Mr. Kapoor disclaims beneficial ownership of these shares. This amount also includes an aggregate of 519,339 shares of our common stock indirectly owned by Mr. Talwar through three separate three year grantor retained annuity trusts. Mr. Talwar is the sole trustee of each of these trusts. This amount also includes 909,984 shares of our common stock owned indirectly by Mr. Talwar through a trust. Mr. Talwar and his spouse are the trustees of this trust and share dispositive and voting control over the shares in the trust. This amount also includes 84,000 shares of our common stock owned indirectly by Mr. Talwar through a spousal lifetime access trust for Mr. Talwar’s spouse. Mr. Talwar and Mr. Kapoor are the trustees of this trust and share dispositive and voting control over the shares in the trust. Mr. Kapoor disclaims beneficial ownership of these shares. This amount includes 124,100 shares of our common stock of which Mr. Talwar has the right to acquire beneficial ownership within 60 days.</w:t>
      </w:r>
    </w:p>
    <w:p>
      <w:pPr>
        <w:spacing w:after="0" w:line="25" w:lineRule="exact"/>
        <w:rPr>
          <w:rFonts w:ascii="Arial" w:cs="Arial" w:eastAsia="Arial" w:hAnsi="Arial"/>
          <w:sz w:val="16"/>
          <w:szCs w:val="16"/>
          <w:color w:val="auto"/>
        </w:rPr>
      </w:pPr>
    </w:p>
    <w:p>
      <w:pPr>
        <w:ind w:left="580" w:right="20" w:hanging="572"/>
        <w:spacing w:after="0" w:line="302" w:lineRule="auto"/>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5"/>
          <w:szCs w:val="15"/>
          <w:color w:val="auto"/>
        </w:rPr>
      </w:pPr>
    </w:p>
    <w:p>
      <w:pPr>
        <w:jc w:val="both"/>
        <w:ind w:left="580" w:right="180"/>
        <w:spacing w:after="0" w:line="343" w:lineRule="auto"/>
        <w:rPr>
          <w:rFonts w:ascii="Arial" w:cs="Arial" w:eastAsia="Arial" w:hAnsi="Arial"/>
          <w:sz w:val="15"/>
          <w:szCs w:val="15"/>
          <w:color w:val="auto"/>
        </w:rPr>
      </w:pPr>
      <w:r>
        <w:rPr>
          <w:rFonts w:ascii="Arial" w:cs="Arial" w:eastAsia="Arial" w:hAnsi="Arial"/>
          <w:sz w:val="15"/>
          <w:szCs w:val="15"/>
          <w:color w:val="auto"/>
        </w:rPr>
        <w:t>Mr. Kapoor’s spouse. Mr. Kapoor and Mr. Kapoor’s sister-in-law are the trustees of this trust and share dispositive and voting control over the shares in the trust. This amount includes 274,100 shares of our common stock of which Mr. Kapoor has the right to acquire beneficial ownership within 60 days.</w:t>
      </w: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32,000 shares of our common stock of which Mr. Bagai has the right to acquire beneficial ownership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84,200 shares of our common stock of which Mr. Shashank has the right to acquire beneficial ownership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22,750 shares of our common stock of which Mr. Nacha has the right to acquire beneficial ownership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11,670 shares of our common stock of which Mr. Bhalla has the right to acquire beneficial ownership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amount includes 9,800 shares of our common stock of which Mr. de Villa has the right to acquire beneficial ownership within 60 days.</w:t>
      </w:r>
    </w:p>
    <w:p>
      <w:pPr>
        <w:spacing w:after="0" w:line="99" w:lineRule="exact"/>
        <w:rPr>
          <w:rFonts w:ascii="Arial" w:cs="Arial" w:eastAsia="Arial" w:hAnsi="Arial"/>
          <w:sz w:val="16"/>
          <w:szCs w:val="16"/>
          <w:color w:val="auto"/>
        </w:rPr>
      </w:pPr>
    </w:p>
    <w:p>
      <w:pPr>
        <w:ind w:left="580" w:right="6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Appel served as our principal financial officer during a portion of 2009 but resigned effective May 15, 2009. Mr. Appel’s business address is c/o Zale Corporation, 901 West Walnut Hill Lane, Irving, Texas 75038.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6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14,865 shares of our common stock of which Mr. Gruber has the right to acquire beneficial ownership within 60 days and excludes 12,000 restricted stock units that will not settle within 60 days.</w:t>
      </w:r>
    </w:p>
    <w:p>
      <w:pPr>
        <w:spacing w:after="0" w:line="37"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14,189 shares of our common stock of which Mr. Dardani has the right to acquire beneficial ownership within 60 days and excludes 12,000 restricted stock units that will not settle within 60 days.</w:t>
      </w:r>
    </w:p>
    <w:p>
      <w:pPr>
        <w:spacing w:after="0" w:line="37"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19,662 shares of our common stock of which Mr. Karnik has the right to acquire beneficial ownership within 60 days and excludes 4,000 restricted stock units that will not settle within 60 days.</w:t>
      </w:r>
    </w:p>
    <w:p>
      <w:pPr>
        <w:spacing w:after="0" w:line="37" w:lineRule="exact"/>
        <w:rPr>
          <w:rFonts w:ascii="Arial" w:cs="Arial" w:eastAsia="Arial" w:hAnsi="Arial"/>
          <w:sz w:val="18"/>
          <w:szCs w:val="18"/>
          <w:color w:val="auto"/>
        </w:rPr>
      </w:pPr>
    </w:p>
    <w:p>
      <w:pPr>
        <w:ind w:left="580" w:right="16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40,743 shares of our common stock of which Mr. Kelso has the right to acquire beneficial ownership within 60 days and excludes 12,000 restricted stock units that will not settle within 60 days.</w:t>
      </w:r>
    </w:p>
    <w:p>
      <w:pPr>
        <w:spacing w:after="0" w:line="37" w:lineRule="exact"/>
        <w:rPr>
          <w:rFonts w:ascii="Arial" w:cs="Arial" w:eastAsia="Arial" w:hAnsi="Arial"/>
          <w:sz w:val="18"/>
          <w:szCs w:val="18"/>
          <w:color w:val="auto"/>
        </w:rPr>
      </w:pPr>
    </w:p>
    <w:p>
      <w:pPr>
        <w:ind w:left="580" w:right="14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31,892 shares of our common stock of which Mr. Ostler has the right to acquire beneficial ownership within 60 days and excludes 8,000 restricted stock units that will not settle within 60 days.</w:t>
      </w:r>
    </w:p>
    <w:p>
      <w:pPr>
        <w:spacing w:after="0" w:line="37" w:lineRule="exact"/>
        <w:rPr>
          <w:rFonts w:ascii="Arial" w:cs="Arial" w:eastAsia="Arial" w:hAnsi="Arial"/>
          <w:sz w:val="18"/>
          <w:szCs w:val="18"/>
          <w:color w:val="auto"/>
        </w:rPr>
      </w:pPr>
    </w:p>
    <w:p>
      <w:pPr>
        <w:ind w:left="580" w:right="58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38,446 shares of our common stock of which Mr. Sawhney has the right to acquire beneficial ownership within 60 days and excludes 12,000 restricted stock units that will not settle within 60 days.</w:t>
      </w:r>
    </w:p>
    <w:p>
      <w:pPr>
        <w:spacing w:after="0" w:line="37"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46,892 shares of our common stock of which Mr. Staglin has the right to acquire beneficial ownership within 60 days and excludes 12,000 restricted stock units that will not settle within 60 days.</w:t>
      </w:r>
    </w:p>
    <w:p>
      <w:pPr>
        <w:spacing w:after="0" w:line="37"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includes an aggregate of 804,089 shares of our common stock of which our current directors and executive officers have the right to acquire beneficial ownership within 60 days.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0" w:firstLine="2824"/>
        <w:spacing w:after="0" w:line="347"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person transactions. Under this policy, our General Counsel will review the facts and circumstances of any covered transaction. If our General Counsel determines that the transaction involves a related person transaction and that the amount involved does not equal or exceed $120,000, our General Counsel will approve or disapprove the transaction. If our General Counsel determines that the transaction involves a related person transaction and that the amount involved equals or exceeds $120,000, he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indirectly owned by entities related to the Oak Hill Partnerships, one of our significant stockholders. We recognized revenue of approximately $536,890 in the year ended December 31, 2009 for fees and expense reimbursements from Duane Reade Holdings, Inc. At December 31, 2009 we had an account receivable of $43,260 related to these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Audit Committee of the board of directors of ExlService Holdings, Inc. oversees and assists our board of directors in fulfilling its oversight responsibilities with respect to:</w:t>
      </w:r>
    </w:p>
    <w:p>
      <w:pPr>
        <w:spacing w:after="0" w:line="51" w:lineRule="exact"/>
        <w:rPr>
          <w:sz w:val="20"/>
          <w:szCs w:val="20"/>
          <w:color w:val="auto"/>
        </w:rPr>
      </w:pPr>
    </w:p>
    <w:p>
      <w:pPr>
        <w:ind w:left="900" w:right="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registered public accounting firm’s qualifications, independence and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2009 audited consolidated financial statements. The Audit Committee also discussed with Ernst &amp; Young LLP the matters required to be discussed by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2009.</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David B. Kelso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Mohanbir Sawhney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Nominating and Governance Committee has nominated, and our board of directors has designated, Messrs. Dardani, Kapoor and Karnik for election as Class I directors at the Annual Meeting.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5"/>
                <w:szCs w:val="15"/>
                <w:color w:val="auto"/>
              </w:rPr>
            </w:pPr>
          </w:p>
        </w:tc>
        <w:tc>
          <w:tcPr>
            <w:tcW w:w="1600" w:type="dxa"/>
            <w:vAlign w:val="bottom"/>
          </w:tcPr>
          <w:p>
            <w:pPr>
              <w:ind w:left="380"/>
              <w:spacing w:after="0"/>
              <w:rPr>
                <w:sz w:val="20"/>
                <w:szCs w:val="20"/>
                <w:color w:val="auto"/>
              </w:rPr>
            </w:pPr>
            <w:r>
              <w:rPr>
                <w:rFonts w:ascii="Arial" w:cs="Arial" w:eastAsia="Arial" w:hAnsi="Arial"/>
                <w:sz w:val="14"/>
                <w:szCs w:val="14"/>
                <w:b w:val="1"/>
                <w:bCs w:val="1"/>
                <w:color w:val="auto"/>
              </w:rPr>
              <w:t>Director Since</w:t>
            </w:r>
          </w:p>
        </w:tc>
        <w:tc>
          <w:tcPr>
            <w:tcW w:w="220" w:type="dxa"/>
            <w:vAlign w:val="bottom"/>
          </w:tcPr>
          <w:p>
            <w:pPr>
              <w:spacing w:after="0"/>
              <w:rPr>
                <w:sz w:val="15"/>
                <w:szCs w:val="15"/>
                <w:color w:val="auto"/>
              </w:rPr>
            </w:pPr>
          </w:p>
        </w:tc>
        <w:tc>
          <w:tcPr>
            <w:tcW w:w="5920" w:type="dxa"/>
            <w:vAlign w:val="bottom"/>
          </w:tcPr>
          <w:p>
            <w:pPr>
              <w:ind w:left="2380"/>
              <w:spacing w:after="0"/>
              <w:rPr>
                <w:sz w:val="20"/>
                <w:szCs w:val="20"/>
                <w:color w:val="auto"/>
              </w:rPr>
            </w:pPr>
            <w:r>
              <w:rPr>
                <w:rFonts w:ascii="Arial" w:cs="Arial" w:eastAsia="Arial" w:hAnsi="Arial"/>
                <w:sz w:val="14"/>
                <w:szCs w:val="14"/>
                <w:b w:val="1"/>
                <w:bCs w:val="1"/>
                <w:color w:val="auto"/>
              </w:rPr>
              <w:t>Committee/Position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9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2005</w:t>
            </w:r>
          </w:p>
        </w:tc>
        <w:tc>
          <w:tcPr>
            <w:tcW w:w="2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Member</w:t>
            </w:r>
          </w:p>
        </w:tc>
        <w:tc>
          <w:tcPr>
            <w:tcW w:w="0" w:type="dxa"/>
            <w:vAlign w:val="bottom"/>
          </w:tcPr>
          <w:p>
            <w:pPr>
              <w:spacing w:after="0"/>
              <w:rPr>
                <w:sz w:val="1"/>
                <w:szCs w:val="1"/>
                <w:color w:val="auto"/>
              </w:rPr>
            </w:pPr>
          </w:p>
        </w:tc>
      </w:tr>
      <w:tr>
        <w:trPr>
          <w:trHeight w:val="282"/>
        </w:trPr>
        <w:tc>
          <w:tcPr>
            <w:tcW w:w="318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November 2002</w:t>
            </w:r>
          </w:p>
        </w:tc>
        <w:tc>
          <w:tcPr>
            <w:tcW w:w="2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Kiran Karnik</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September 2008</w:t>
            </w:r>
          </w:p>
        </w:tc>
        <w:tc>
          <w:tcPr>
            <w:tcW w:w="2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affirmative vote of the plurality of shares present in person or represented by proxy and entitled to vote at the Annual Meeting will elect the three nominees as Class I directors for the specified three-year term. Unless marked to the contrary, proxies received will be voted “FOR” the nominees.</w:t>
      </w:r>
    </w:p>
    <w:p>
      <w:pPr>
        <w:spacing w:after="0" w:line="79" w:lineRule="exact"/>
        <w:rPr>
          <w:sz w:val="20"/>
          <w:szCs w:val="20"/>
          <w:color w:val="auto"/>
        </w:rPr>
      </w:pPr>
    </w:p>
    <w:p>
      <w:pPr>
        <w:jc w:val="center"/>
        <w:ind w:right="200"/>
        <w:spacing w:after="0" w:line="447" w:lineRule="auto"/>
        <w:rPr>
          <w:sz w:val="20"/>
          <w:szCs w:val="20"/>
          <w:color w:val="auto"/>
        </w:rPr>
      </w:pPr>
      <w:r>
        <w:rPr>
          <w:rFonts w:ascii="Arial" w:cs="Arial" w:eastAsia="Arial" w:hAnsi="Arial"/>
          <w:sz w:val="18"/>
          <w:szCs w:val="18"/>
          <w:b w:val="1"/>
          <w:bCs w:val="1"/>
          <w:color w:val="auto"/>
        </w:rPr>
        <w:t xml:space="preserve">Our board of directors recommends a vote FOR the election of Messrs. Dardani, Kapoor and Karnik as Class I directors of the Company. </w:t>
      </w: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THE APPOINTMENT OF INDEPENDENT REGISTERED PUBLIC ACCOUNTING FIRM</w:t>
      </w:r>
    </w:p>
    <w:p>
      <w:pPr>
        <w:spacing w:after="0" w:line="16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Audit Committee has selected Ernst &amp; Young LLP as independent registered public accounting firm to audit our and our subsidiaries’ books, records and accounts for the fiscal year 2010.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2008 and 2009. Representatives of Ernst &amp; Young LLP are expected to be present at the Annual Meeting. They will have an opportunity to make a statement, if they desire to do so, and will be available to respond to appropriate questions.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fiscal years 2009 and 2008:</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c>
          <w:tcPr>
            <w:tcW w:w="40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Fee Category</w:t>
            </w:r>
          </w:p>
        </w:tc>
        <w:tc>
          <w:tcPr>
            <w:tcW w:w="4360" w:type="dxa"/>
            <w:vAlign w:val="bottom"/>
            <w:gridSpan w:val="2"/>
          </w:tcPr>
          <w:p>
            <w:pPr>
              <w:jc w:val="center"/>
              <w:ind w:left="3896"/>
              <w:spacing w:after="0"/>
              <w:rPr>
                <w:sz w:val="20"/>
                <w:szCs w:val="20"/>
                <w:color w:val="auto"/>
              </w:rPr>
            </w:pPr>
            <w:r>
              <w:rPr>
                <w:rFonts w:ascii="Arial" w:cs="Arial" w:eastAsia="Arial" w:hAnsi="Arial"/>
                <w:sz w:val="14"/>
                <w:szCs w:val="14"/>
                <w:b w:val="1"/>
                <w:bCs w:val="1"/>
                <w:color w:val="auto"/>
                <w:w w:val="83"/>
              </w:rPr>
              <w:t>2009</w:t>
            </w:r>
          </w:p>
        </w:tc>
        <w:tc>
          <w:tcPr>
            <w:tcW w:w="800" w:type="dxa"/>
            <w:vAlign w:val="bottom"/>
            <w:gridSpan w:val="2"/>
          </w:tcPr>
          <w:p>
            <w:pPr>
              <w:jc w:val="center"/>
              <w:ind w:left="339"/>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9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w w:val="79"/>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98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Consist of fees billed for professional services rendered for the audit of our consolidated financial statements, including the audit of</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are not reported under “Audit Fees.” These services include SAS 70 service organization audits, due diligence in connection with acquisitions and information systems audits.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of fees for international tax consulting and transfer pricing studies completed for our subsidiaries.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Our board of directors recommends a vote FOR the ratification of Ernst &amp; Young LLP as our independent registered public accounting firm.</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FOR THE 2011 ANNUAL MEETING</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a stockholder wishes to present a proposal to be included in our Proxy Statement for our 2011 Annual Meeting of Stockholders, the proponent and the proposal must comply with the proxy proposal submission rules of the SEC. One of the requirements is that the proposal must be received by the Corporate Secretary of the Company no later than December 31, 2010. Proposals we receive after that date will not be included in the Proxy Statement. We urge stockholders to submit proposals by certified mail, return receipt requested.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2011 Annual Meeting will be ineligible for presentation at the 2011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or mailed and received by, us not less than 90 nor more than 120 days prior to the first anniversary date of the 2010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 site: www.sec.gov.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U.S. dollar figures in this proxy statement have been converted from Indian rupees at a rate of 46.53 rupees to $1.00, the rupee to U.S. dollar exchange rate in effect as on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and our 2009 Annual Report to multiple stockholders who share an address unless that nominee has received contrary instructions from one or more of the stockholders. We will deliver promptly, upon written or oral request, a separate copy of this proxy statement and our 2009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proxy statement and our 2009 Annual Report of Form 10-K may be viewed at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85" w:lineRule="exact"/>
        <w:rPr>
          <w:sz w:val="20"/>
          <w:szCs w:val="20"/>
          <w:color w:val="auto"/>
        </w:rPr>
      </w:pPr>
    </w:p>
    <w:p>
      <w:pPr>
        <w:jc w:val="right"/>
        <w:ind w:left="460" w:right="2800"/>
        <w:spacing w:after="0" w:line="438" w:lineRule="auto"/>
        <w:rPr>
          <w:sz w:val="20"/>
          <w:szCs w:val="20"/>
          <w:color w:val="auto"/>
        </w:rPr>
      </w:pPr>
      <w:r>
        <w:rPr>
          <w:rFonts w:ascii="Arial" w:cs="Arial" w:eastAsia="Arial" w:hAnsi="Arial"/>
          <w:sz w:val="18"/>
          <w:szCs w:val="18"/>
          <w:color w:val="auto"/>
        </w:rPr>
        <w:t>Whether or not you intend to be present at the Annual Meeting, we urge you to submit your signed proxy promptly. By Order of the Board of Directors,</w:t>
      </w:r>
    </w:p>
    <w:p>
      <w:pPr>
        <w:spacing w:after="0" w:line="1"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Amit Shashank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General Counsel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2010</w:t>
      </w:r>
    </w:p>
    <w:p>
      <w:pPr>
        <w:spacing w:after="0" w:line="15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Our 2009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280 Park Avenue, New York, NY 10017, Attention: Investor Relations. The request must include a representation by the stockholder that as of May 11, 2010, the stockholder was entitled to vote at the Annual Meeting.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2740" w:type="dxa"/>
            <w:vAlign w:val="bottom"/>
            <w:gridSpan w:val="2"/>
            <w:vMerge w:val="restart"/>
          </w:tcPr>
          <w:p>
            <w:pPr>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PLEASE MARK VOTES</w:t>
            </w:r>
          </w:p>
        </w:tc>
        <w:tc>
          <w:tcPr>
            <w:tcW w:w="2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26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REVOCABLE PROXY</w:t>
            </w: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740" w:type="dxa"/>
            <w:vAlign w:val="bottom"/>
            <w:gridSpan w:val="2"/>
            <w:vMerge w:val="continue"/>
          </w:tcPr>
          <w:p>
            <w:pPr>
              <w:spacing w:after="0"/>
              <w:rPr>
                <w:sz w:val="10"/>
                <w:szCs w:val="10"/>
                <w:color w:val="auto"/>
              </w:rPr>
            </w:pPr>
          </w:p>
        </w:tc>
        <w:tc>
          <w:tcPr>
            <w:tcW w:w="2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600" w:type="dxa"/>
            <w:vAlign w:val="bottom"/>
          </w:tcPr>
          <w:p>
            <w:pPr>
              <w:ind w:left="140"/>
              <w:spacing w:after="0"/>
              <w:rPr>
                <w:sz w:val="20"/>
                <w:szCs w:val="20"/>
                <w:color w:val="auto"/>
              </w:rPr>
            </w:pPr>
            <w:r>
              <w:rPr>
                <w:rFonts w:ascii="Arial" w:cs="Arial" w:eastAsia="Arial" w:hAnsi="Arial"/>
                <w:sz w:val="14"/>
                <w:szCs w:val="14"/>
                <w:b w:val="1"/>
                <w:bCs w:val="1"/>
                <w:color w:val="auto"/>
              </w:rPr>
              <w:t>AS IN THIS EXAMPLE</w:t>
            </w:r>
          </w:p>
        </w:tc>
        <w:tc>
          <w:tcPr>
            <w:tcW w:w="2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0" w:type="dxa"/>
            <w:vAlign w:val="bottom"/>
            <w:gridSpan w:val="2"/>
          </w:tcPr>
          <w:p>
            <w:pPr>
              <w:ind w:left="140"/>
              <w:spacing w:after="0"/>
              <w:rPr>
                <w:sz w:val="20"/>
                <w:szCs w:val="20"/>
                <w:color w:val="auto"/>
              </w:rPr>
            </w:pPr>
            <w:r>
              <w:rPr>
                <w:rFonts w:ascii="Arial" w:cs="Arial" w:eastAsia="Arial" w:hAnsi="Arial"/>
                <w:sz w:val="14"/>
                <w:szCs w:val="14"/>
                <w:b w:val="1"/>
                <w:bCs w:val="1"/>
                <w:color w:val="auto"/>
              </w:rPr>
              <w:t>EXLSERVICE HOLDINGS, INC.</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546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7"/>
              </w:rPr>
              <w:t>PROXY SOLICITED BY THE BOARD OF DIRECTORS</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WITH-</w:t>
            </w:r>
          </w:p>
        </w:tc>
        <w:tc>
          <w:tcPr>
            <w:tcW w:w="90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w w:val="95"/>
              </w:rPr>
              <w:t>FOR ALL</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FOR THE ANNUAL MEETING OF STOCKHOLDERS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HOLD</w:t>
            </w:r>
          </w:p>
        </w:tc>
        <w:tc>
          <w:tcPr>
            <w:tcW w:w="900" w:type="dxa"/>
            <w:vAlign w:val="bottom"/>
            <w:gridSpan w:val="2"/>
          </w:tcPr>
          <w:p>
            <w:pPr>
              <w:jc w:val="center"/>
              <w:ind w:left="49"/>
              <w:spacing w:after="0" w:line="149" w:lineRule="exact"/>
              <w:rPr>
                <w:sz w:val="20"/>
                <w:szCs w:val="20"/>
                <w:color w:val="auto"/>
              </w:rPr>
            </w:pPr>
            <w:r>
              <w:rPr>
                <w:rFonts w:ascii="Arial" w:cs="Arial" w:eastAsia="Arial" w:hAnsi="Arial"/>
                <w:sz w:val="14"/>
                <w:szCs w:val="14"/>
                <w:b w:val="1"/>
                <w:bCs w:val="1"/>
                <w:color w:val="auto"/>
                <w:w w:val="96"/>
              </w:rPr>
              <w:t>EXCEPT</w:t>
            </w: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546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5"/>
              </w:rPr>
              <w:t>June 24, 2010</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40" w:type="dxa"/>
            <w:vAlign w:val="bottom"/>
          </w:tcPr>
          <w:p>
            <w:pPr>
              <w:spacing w:after="0"/>
              <w:rPr>
                <w:sz w:val="21"/>
                <w:szCs w:val="21"/>
                <w:color w:val="auto"/>
              </w:rPr>
            </w:pPr>
          </w:p>
        </w:tc>
        <w:tc>
          <w:tcPr>
            <w:tcW w:w="5460" w:type="dxa"/>
            <w:vAlign w:val="bottom"/>
            <w:gridSpan w:val="3"/>
          </w:tcPr>
          <w:p>
            <w:pPr>
              <w:ind w:left="300"/>
              <w:spacing w:after="0"/>
              <w:rPr>
                <w:sz w:val="20"/>
                <w:szCs w:val="20"/>
                <w:color w:val="auto"/>
              </w:rPr>
            </w:pPr>
            <w:r>
              <w:rPr>
                <w:rFonts w:ascii="Arial" w:cs="Arial" w:eastAsia="Arial" w:hAnsi="Arial"/>
                <w:sz w:val="14"/>
                <w:szCs w:val="14"/>
                <w:color w:val="auto"/>
                <w:w w:val="88"/>
              </w:rPr>
              <w:t>Vikram Talwar, Vishal Chhibbar and Amit Shashank, or any one of them, each with the power</w:t>
            </w: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2620" w:type="dxa"/>
            <w:vAlign w:val="bottom"/>
          </w:tcPr>
          <w:p>
            <w:pPr>
              <w:ind w:left="240"/>
              <w:spacing w:after="0"/>
              <w:rPr>
                <w:sz w:val="20"/>
                <w:szCs w:val="20"/>
                <w:color w:val="auto"/>
              </w:rPr>
            </w:pPr>
            <w:r>
              <w:rPr>
                <w:rFonts w:ascii="Arial" w:cs="Arial" w:eastAsia="Arial" w:hAnsi="Arial"/>
                <w:sz w:val="14"/>
                <w:szCs w:val="14"/>
                <w:color w:val="auto"/>
              </w:rPr>
              <w:t>To elect three directors (except as</w:t>
            </w:r>
          </w:p>
        </w:tc>
        <w:tc>
          <w:tcPr>
            <w:tcW w:w="5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189"/>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600" w:type="dxa"/>
            <w:vAlign w:val="bottom"/>
            <w:gridSpan w:val="4"/>
          </w:tcPr>
          <w:p>
            <w:pPr>
              <w:spacing w:after="0" w:line="149" w:lineRule="exact"/>
              <w:rPr>
                <w:sz w:val="20"/>
                <w:szCs w:val="20"/>
                <w:color w:val="auto"/>
              </w:rPr>
            </w:pPr>
            <w:r>
              <w:rPr>
                <w:rFonts w:ascii="Arial" w:cs="Arial" w:eastAsia="Arial" w:hAnsi="Arial"/>
                <w:sz w:val="14"/>
                <w:szCs w:val="14"/>
                <w:color w:val="auto"/>
                <w:w w:val="91"/>
              </w:rPr>
              <w:t>of substitution and revocation, are hereby authorized to represent the undersigned, with all powers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ind w:left="100"/>
              <w:spacing w:after="0" w:line="149" w:lineRule="exact"/>
              <w:rPr>
                <w:sz w:val="20"/>
                <w:szCs w:val="20"/>
                <w:color w:val="auto"/>
              </w:rPr>
            </w:pPr>
            <w:r>
              <w:rPr>
                <w:rFonts w:ascii="Arial" w:cs="Arial" w:eastAsia="Arial" w:hAnsi="Arial"/>
                <w:sz w:val="14"/>
                <w:szCs w:val="14"/>
                <w:color w:val="auto"/>
              </w:rPr>
              <w:t>marked to the contrary below):</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4"/>
          </w:tcPr>
          <w:p>
            <w:pPr>
              <w:spacing w:after="0" w:line="149" w:lineRule="exact"/>
              <w:rPr>
                <w:sz w:val="20"/>
                <w:szCs w:val="20"/>
                <w:color w:val="auto"/>
              </w:rPr>
            </w:pPr>
            <w:r>
              <w:rPr>
                <w:rFonts w:ascii="Arial" w:cs="Arial" w:eastAsia="Arial" w:hAnsi="Arial"/>
                <w:sz w:val="14"/>
                <w:szCs w:val="14"/>
                <w:color w:val="auto"/>
                <w:w w:val="96"/>
              </w:rPr>
              <w:t>which the undersigned would possess if personally present, to vote the Common Stock of the</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Nominees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00" w:type="dxa"/>
            <w:vAlign w:val="bottom"/>
            <w:gridSpan w:val="4"/>
          </w:tcPr>
          <w:p>
            <w:pPr>
              <w:spacing w:after="0" w:line="133" w:lineRule="exact"/>
              <w:rPr>
                <w:sz w:val="20"/>
                <w:szCs w:val="20"/>
                <w:color w:val="auto"/>
              </w:rPr>
            </w:pPr>
            <w:r>
              <w:rPr>
                <w:rFonts w:ascii="Arial" w:cs="Arial" w:eastAsia="Arial" w:hAnsi="Arial"/>
                <w:sz w:val="14"/>
                <w:szCs w:val="14"/>
                <w:color w:val="auto"/>
                <w:w w:val="88"/>
              </w:rPr>
              <w:t>undersigned at the annual meeting of stockholders of ExlService Holdings, Inc. (the “Company”) to be</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600" w:type="dxa"/>
            <w:vAlign w:val="bottom"/>
            <w:gridSpan w:val="4"/>
          </w:tcPr>
          <w:p>
            <w:pPr>
              <w:spacing w:after="0"/>
              <w:rPr>
                <w:sz w:val="20"/>
                <w:szCs w:val="20"/>
                <w:color w:val="auto"/>
              </w:rPr>
            </w:pPr>
            <w:r>
              <w:rPr>
                <w:rFonts w:ascii="Arial" w:cs="Arial" w:eastAsia="Arial" w:hAnsi="Arial"/>
                <w:sz w:val="14"/>
                <w:szCs w:val="14"/>
                <w:color w:val="auto"/>
                <w:w w:val="87"/>
              </w:rPr>
              <w:t>held at The Ritz-Carlton, Westchester, Three Renaissance Square, White Plains, New York 10601, on</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Pr>
          <w:p>
            <w:pPr>
              <w:ind w:left="100"/>
              <w:spacing w:after="0"/>
              <w:rPr>
                <w:sz w:val="20"/>
                <w:szCs w:val="20"/>
                <w:color w:val="auto"/>
              </w:rPr>
            </w:pPr>
            <w:r>
              <w:rPr>
                <w:rFonts w:ascii="Arial" w:cs="Arial" w:eastAsia="Arial" w:hAnsi="Arial"/>
                <w:sz w:val="14"/>
                <w:szCs w:val="14"/>
                <w:b w:val="1"/>
                <w:bCs w:val="1"/>
                <w:color w:val="auto"/>
                <w:w w:val="95"/>
              </w:rPr>
              <w:t>(1) Edward V. Dardani  (2) Rohit Kapoor</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(3) Kiran Karnik</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gridSpan w:val="4"/>
          </w:tcPr>
          <w:p>
            <w:pPr>
              <w:spacing w:after="0" w:line="149" w:lineRule="exact"/>
              <w:rPr>
                <w:sz w:val="20"/>
                <w:szCs w:val="20"/>
                <w:color w:val="auto"/>
              </w:rPr>
            </w:pPr>
            <w:r>
              <w:rPr>
                <w:rFonts w:ascii="Arial" w:cs="Arial" w:eastAsia="Arial" w:hAnsi="Arial"/>
                <w:sz w:val="14"/>
                <w:szCs w:val="14"/>
                <w:color w:val="auto"/>
                <w:w w:val="87"/>
              </w:rPr>
              <w:t>June 24, 2010 at 10:00 AM, Eastern Time, and at any postponements or adjournments of that meeting,</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4"/>
          </w:tcPr>
          <w:p>
            <w:pPr>
              <w:spacing w:after="0" w:line="149" w:lineRule="exact"/>
              <w:rPr>
                <w:sz w:val="20"/>
                <w:szCs w:val="20"/>
                <w:color w:val="auto"/>
              </w:rPr>
            </w:pPr>
            <w:r>
              <w:rPr>
                <w:rFonts w:ascii="Arial" w:cs="Arial" w:eastAsia="Arial" w:hAnsi="Arial"/>
                <w:sz w:val="14"/>
                <w:szCs w:val="14"/>
                <w:color w:val="auto"/>
                <w:w w:val="89"/>
              </w:rPr>
              <w:t>as set forth below, and in their discretion upon any other business that may properly come before the</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3"/>
              </w:rPr>
              <w:t>INSTRUCTION: To withhold authority to vote for any individual nominee,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40" w:type="dxa"/>
            <w:vAlign w:val="bottom"/>
            <w:gridSpan w:val="2"/>
          </w:tcPr>
          <w:p>
            <w:pPr>
              <w:spacing w:after="0" w:line="133" w:lineRule="exact"/>
              <w:rPr>
                <w:sz w:val="20"/>
                <w:szCs w:val="20"/>
                <w:color w:val="auto"/>
              </w:rPr>
            </w:pPr>
            <w:r>
              <w:rPr>
                <w:rFonts w:ascii="Arial" w:cs="Arial" w:eastAsia="Arial" w:hAnsi="Arial"/>
                <w:sz w:val="14"/>
                <w:szCs w:val="14"/>
                <w:color w:val="auto"/>
              </w:rPr>
              <w:t>meeting.</w:t>
            </w:r>
          </w:p>
        </w:tc>
        <w:tc>
          <w:tcPr>
            <w:tcW w:w="2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2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89"/>
              </w:rPr>
              <w:t>mark “For All Except” and write that nominee’s name in the space provided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5460" w:type="dxa"/>
            <w:vAlign w:val="bottom"/>
            <w:gridSpan w:val="3"/>
            <w:vMerge w:val="restart"/>
          </w:tcPr>
          <w:p>
            <w:pPr>
              <w:ind w:left="300"/>
              <w:spacing w:after="0"/>
              <w:rPr>
                <w:sz w:val="20"/>
                <w:szCs w:val="20"/>
                <w:color w:val="auto"/>
              </w:rPr>
            </w:pPr>
            <w:r>
              <w:rPr>
                <w:rFonts w:ascii="Arial" w:cs="Arial" w:eastAsia="Arial" w:hAnsi="Arial"/>
                <w:sz w:val="14"/>
                <w:szCs w:val="14"/>
                <w:color w:val="auto"/>
                <w:w w:val="88"/>
              </w:rPr>
              <w:t>All capitalized terms used in this proxy shall have the same meanings assigned to them in the</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Arial" w:cs="Arial" w:eastAsia="Arial" w:hAnsi="Arial"/>
                <w:sz w:val="14"/>
                <w:szCs w:val="14"/>
                <w:b w:val="1"/>
                <w:bCs w:val="1"/>
                <w:color w:val="auto"/>
              </w:rPr>
              <w:t>below.</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40" w:type="dxa"/>
            <w:vAlign w:val="bottom"/>
          </w:tcPr>
          <w:p>
            <w:pPr>
              <w:spacing w:after="0"/>
              <w:rPr>
                <w:sz w:val="3"/>
                <w:szCs w:val="3"/>
                <w:color w:val="auto"/>
              </w:rPr>
            </w:pPr>
          </w:p>
        </w:tc>
        <w:tc>
          <w:tcPr>
            <w:tcW w:w="5460" w:type="dxa"/>
            <w:vAlign w:val="bottom"/>
            <w:gridSpan w:val="3"/>
            <w:vMerge w:val="continue"/>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740" w:type="dxa"/>
            <w:vAlign w:val="bottom"/>
            <w:gridSpan w:val="2"/>
          </w:tcPr>
          <w:p>
            <w:pPr>
              <w:spacing w:after="0" w:line="159" w:lineRule="exact"/>
              <w:rPr>
                <w:sz w:val="20"/>
                <w:szCs w:val="20"/>
                <w:color w:val="auto"/>
              </w:rPr>
            </w:pPr>
            <w:r>
              <w:rPr>
                <w:rFonts w:ascii="Arial" w:cs="Arial" w:eastAsia="Arial" w:hAnsi="Arial"/>
                <w:sz w:val="14"/>
                <w:szCs w:val="14"/>
                <w:color w:val="auto"/>
              </w:rPr>
              <w:t>proxy statement.</w:t>
            </w:r>
          </w:p>
        </w:tc>
        <w:tc>
          <w:tcPr>
            <w:tcW w:w="2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w w:val="91"/>
              </w:rPr>
              <w:t>AGAINST</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46"/>
        </w:trPr>
        <w:tc>
          <w:tcPr>
            <w:tcW w:w="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1"/>
                <w:szCs w:val="21"/>
                <w:color w:val="auto"/>
              </w:rPr>
            </w:pPr>
          </w:p>
        </w:tc>
        <w:tc>
          <w:tcPr>
            <w:tcW w:w="2620" w:type="dxa"/>
            <w:vAlign w:val="bottom"/>
          </w:tcPr>
          <w:p>
            <w:pPr>
              <w:ind w:left="240"/>
              <w:spacing w:after="0"/>
              <w:rPr>
                <w:sz w:val="20"/>
                <w:szCs w:val="20"/>
                <w:color w:val="auto"/>
              </w:rPr>
            </w:pPr>
            <w:r>
              <w:rPr>
                <w:rFonts w:ascii="Arial" w:cs="Arial" w:eastAsia="Arial" w:hAnsi="Arial"/>
                <w:sz w:val="14"/>
                <w:szCs w:val="14"/>
                <w:color w:val="auto"/>
                <w:w w:val="97"/>
              </w:rPr>
              <w:t>To ratify the selection of Ernst &amp; Young</w:t>
            </w:r>
          </w:p>
        </w:tc>
        <w:tc>
          <w:tcPr>
            <w:tcW w:w="5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189"/>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ind w:left="100"/>
              <w:spacing w:after="0" w:line="149" w:lineRule="exact"/>
              <w:rPr>
                <w:sz w:val="20"/>
                <w:szCs w:val="20"/>
                <w:color w:val="auto"/>
              </w:rPr>
            </w:pPr>
            <w:r>
              <w:rPr>
                <w:rFonts w:ascii="Arial" w:cs="Arial" w:eastAsia="Arial" w:hAnsi="Arial"/>
                <w:sz w:val="14"/>
                <w:szCs w:val="14"/>
                <w:color w:val="auto"/>
              </w:rPr>
              <w:t>LLP as the independent</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Pr>
          <w:p>
            <w:pPr>
              <w:ind w:left="100"/>
              <w:spacing w:after="0" w:line="149" w:lineRule="exact"/>
              <w:rPr>
                <w:sz w:val="20"/>
                <w:szCs w:val="20"/>
                <w:color w:val="auto"/>
              </w:rPr>
            </w:pPr>
            <w:r>
              <w:rPr>
                <w:rFonts w:ascii="Arial" w:cs="Arial" w:eastAsia="Arial" w:hAnsi="Arial"/>
                <w:sz w:val="14"/>
                <w:szCs w:val="14"/>
                <w:color w:val="auto"/>
              </w:rPr>
              <w:t>registered public accounting firm of the</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Pr>
          <w:p>
            <w:pPr>
              <w:ind w:left="100"/>
              <w:spacing w:after="0"/>
              <w:rPr>
                <w:sz w:val="20"/>
                <w:szCs w:val="20"/>
                <w:color w:val="auto"/>
              </w:rPr>
            </w:pPr>
            <w:r>
              <w:rPr>
                <w:rFonts w:ascii="Arial" w:cs="Arial" w:eastAsia="Arial" w:hAnsi="Arial"/>
                <w:sz w:val="14"/>
                <w:szCs w:val="14"/>
                <w:color w:val="auto"/>
              </w:rPr>
              <w:t>Company.</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40" w:type="dxa"/>
            <w:vAlign w:val="bottom"/>
            <w:vMerge w:val="restart"/>
          </w:tcPr>
          <w:p>
            <w:pPr>
              <w:spacing w:after="0"/>
              <w:rPr>
                <w:sz w:val="22"/>
                <w:szCs w:val="22"/>
                <w:color w:val="auto"/>
              </w:rPr>
            </w:pPr>
          </w:p>
        </w:tc>
        <w:tc>
          <w:tcPr>
            <w:tcW w:w="2600" w:type="dxa"/>
            <w:vAlign w:val="bottom"/>
            <w:vMerge w:val="restart"/>
          </w:tcPr>
          <w:p>
            <w:pPr>
              <w:ind w:left="80"/>
              <w:spacing w:after="0"/>
              <w:rPr>
                <w:sz w:val="20"/>
                <w:szCs w:val="20"/>
                <w:color w:val="auto"/>
              </w:rPr>
            </w:pPr>
            <w:r>
              <w:rPr>
                <w:rFonts w:ascii="Arial" w:cs="Arial" w:eastAsia="Arial" w:hAnsi="Arial"/>
                <w:sz w:val="14"/>
                <w:szCs w:val="14"/>
                <w:color w:val="auto"/>
              </w:rPr>
              <w:t>Please be sure to sign and date</w:t>
            </w:r>
          </w:p>
        </w:tc>
        <w:tc>
          <w:tcPr>
            <w:tcW w:w="210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2"/>
                <w:szCs w:val="22"/>
                <w:color w:val="auto"/>
              </w:rPr>
            </w:pPr>
          </w:p>
        </w:tc>
        <w:tc>
          <w:tcPr>
            <w:tcW w:w="4620" w:type="dxa"/>
            <w:vAlign w:val="bottom"/>
            <w:gridSpan w:val="4"/>
            <w:vMerge w:val="restart"/>
          </w:tcPr>
          <w:p>
            <w:pPr>
              <w:ind w:left="240"/>
              <w:spacing w:after="0"/>
              <w:rPr>
                <w:sz w:val="20"/>
                <w:szCs w:val="20"/>
                <w:color w:val="auto"/>
              </w:rPr>
            </w:pPr>
            <w:r>
              <w:rPr>
                <w:rFonts w:ascii="Arial" w:cs="Arial" w:eastAsia="Arial" w:hAnsi="Arial"/>
                <w:sz w:val="14"/>
                <w:szCs w:val="14"/>
                <w:color w:val="auto"/>
                <w:w w:val="86"/>
              </w:rPr>
              <w:t>In their discretion, the proxies are authorized to vote upon such other business as</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4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ind w:left="100"/>
              <w:spacing w:after="0" w:line="118" w:lineRule="exact"/>
              <w:rPr>
                <w:sz w:val="20"/>
                <w:szCs w:val="20"/>
                <w:color w:val="auto"/>
              </w:rPr>
            </w:pPr>
            <w:r>
              <w:rPr>
                <w:rFonts w:ascii="Arial" w:cs="Arial" w:eastAsia="Arial" w:hAnsi="Arial"/>
                <w:sz w:val="12"/>
                <w:szCs w:val="12"/>
                <w:color w:val="auto"/>
              </w:rPr>
              <w:t>Date</w:t>
            </w:r>
          </w:p>
        </w:tc>
        <w:tc>
          <w:tcPr>
            <w:tcW w:w="8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6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26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this Proxy in the box below.</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2"/>
          </w:tcPr>
          <w:p>
            <w:pPr>
              <w:ind w:left="100"/>
              <w:spacing w:after="0"/>
              <w:rPr>
                <w:sz w:val="20"/>
                <w:szCs w:val="20"/>
                <w:color w:val="auto"/>
              </w:rPr>
            </w:pPr>
            <w:r>
              <w:rPr>
                <w:rFonts w:ascii="Arial" w:cs="Arial" w:eastAsia="Arial" w:hAnsi="Arial"/>
                <w:sz w:val="14"/>
                <w:szCs w:val="14"/>
                <w:color w:val="auto"/>
              </w:rPr>
              <w:t>may properly come before the Annual Meeting.</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5"/>
        </w:trPr>
        <w:tc>
          <w:tcPr>
            <w:tcW w:w="140" w:type="dxa"/>
            <w:vAlign w:val="bottom"/>
            <w:tcBorders>
              <w:right w:val="single" w:sz="8" w:color="auto"/>
            </w:tcBorders>
          </w:tcPr>
          <w:p>
            <w:pPr>
              <w:spacing w:after="0"/>
              <w:rPr>
                <w:sz w:val="24"/>
                <w:szCs w:val="24"/>
                <w:color w:val="auto"/>
              </w:rPr>
            </w:pPr>
          </w:p>
        </w:tc>
        <w:tc>
          <w:tcPr>
            <w:tcW w:w="2600" w:type="dxa"/>
            <w:vAlign w:val="bottom"/>
            <w:vMerge w:val="restart"/>
          </w:tcPr>
          <w:p>
            <w:pPr>
              <w:ind w:left="1200"/>
              <w:spacing w:after="0"/>
              <w:rPr>
                <w:sz w:val="20"/>
                <w:szCs w:val="20"/>
                <w:color w:val="auto"/>
              </w:rPr>
            </w:pPr>
            <w:r>
              <w:rPr>
                <w:rFonts w:ascii="Arial" w:cs="Arial" w:eastAsia="Arial" w:hAnsi="Arial"/>
                <w:sz w:val="14"/>
                <w:szCs w:val="14"/>
                <w:color w:val="auto"/>
                <w:w w:val="94"/>
              </w:rPr>
              <w:t>Stockholder sign above</w:t>
            </w:r>
          </w:p>
        </w:tc>
        <w:tc>
          <w:tcPr>
            <w:tcW w:w="28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Co-holder (if any) sign above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5"/>
          </w:tcPr>
          <w:p>
            <w:pPr>
              <w:ind w:left="540"/>
              <w:spacing w:after="0"/>
              <w:rPr>
                <w:sz w:val="20"/>
                <w:szCs w:val="20"/>
                <w:color w:val="auto"/>
              </w:rPr>
            </w:pPr>
            <w:r>
              <w:rPr>
                <w:rFonts w:ascii="Arial" w:cs="Arial" w:eastAsia="Arial" w:hAnsi="Arial"/>
                <w:sz w:val="14"/>
                <w:szCs w:val="14"/>
                <w:b w:val="1"/>
                <w:bCs w:val="1"/>
                <w:color w:val="auto"/>
                <w:w w:val="87"/>
              </w:rPr>
              <w:t>The Board of Directors recommends that you vote FOR proposals 1 and</w:t>
            </w:r>
          </w:p>
        </w:tc>
        <w:tc>
          <w:tcPr>
            <w:tcW w:w="0" w:type="dxa"/>
            <w:vAlign w:val="bottom"/>
          </w:tcPr>
          <w:p>
            <w:pPr>
              <w:spacing w:after="0"/>
              <w:rPr>
                <w:sz w:val="1"/>
                <w:szCs w:val="1"/>
                <w:color w:val="auto"/>
              </w:rPr>
            </w:pPr>
          </w:p>
        </w:tc>
      </w:tr>
      <w:tr>
        <w:trPr>
          <w:trHeight w:val="72"/>
        </w:trPr>
        <w:tc>
          <w:tcPr>
            <w:tcW w:w="140" w:type="dxa"/>
            <w:vAlign w:val="bottom"/>
            <w:tcBorders>
              <w:right w:val="single" w:sz="8" w:color="auto"/>
            </w:tcBorders>
          </w:tcPr>
          <w:p>
            <w:pPr>
              <w:spacing w:after="0"/>
              <w:rPr>
                <w:sz w:val="5"/>
                <w:szCs w:val="5"/>
                <w:color w:val="auto"/>
              </w:rPr>
            </w:pPr>
          </w:p>
        </w:tc>
        <w:tc>
          <w:tcPr>
            <w:tcW w:w="2600" w:type="dxa"/>
            <w:vAlign w:val="bottom"/>
            <w:tcBorders>
              <w:bottom w:val="single" w:sz="8" w:color="auto"/>
            </w:tcBorders>
            <w:vMerge w:val="continue"/>
          </w:tcPr>
          <w:p>
            <w:pPr>
              <w:spacing w:after="0"/>
              <w:rPr>
                <w:sz w:val="5"/>
                <w:szCs w:val="5"/>
                <w:color w:val="auto"/>
              </w:rPr>
            </w:pPr>
          </w:p>
        </w:tc>
        <w:tc>
          <w:tcPr>
            <w:tcW w:w="2860" w:type="dxa"/>
            <w:vAlign w:val="bottom"/>
            <w:tcBorders>
              <w:bottom w:val="single" w:sz="8" w:color="auto"/>
              <w:right w:val="single" w:sz="8" w:color="auto"/>
            </w:tcBorders>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2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w w:val="85"/>
              </w:rPr>
              <w:t>2. The shares represented by this proxy will be voted as specified herein. If not</w:t>
            </w: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86"/>
              </w:rPr>
              <w:t>otherwise specified, such shares will be voted by the proxies FOR Proposals 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Arial" w:cs="Arial" w:eastAsia="Arial" w:hAnsi="Arial"/>
                <w:sz w:val="14"/>
                <w:szCs w:val="14"/>
                <w:b w:val="1"/>
                <w:bCs w:val="1"/>
                <w:color w:val="auto"/>
              </w:rPr>
              <w:t>and 2.</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80" w:type="dxa"/>
            <w:vAlign w:val="bottom"/>
            <w:gridSpan w:val="3"/>
          </w:tcPr>
          <w:p>
            <w:pPr>
              <w:ind w:left="540"/>
              <w:spacing w:after="0"/>
              <w:rPr>
                <w:sz w:val="20"/>
                <w:szCs w:val="20"/>
                <w:color w:val="auto"/>
              </w:rPr>
            </w:pPr>
            <w:r>
              <w:rPr>
                <w:rFonts w:ascii="Arial" w:cs="Arial" w:eastAsia="Arial" w:hAnsi="Arial"/>
                <w:sz w:val="14"/>
                <w:szCs w:val="14"/>
                <w:color w:val="auto"/>
                <w:w w:val="96"/>
              </w:rPr>
              <w:t>Please sign exactly as your name appears on this card.</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3"/>
          </w:tcPr>
          <w:p>
            <w:pPr>
              <w:ind w:left="100"/>
              <w:spacing w:after="0"/>
              <w:rPr>
                <w:sz w:val="20"/>
                <w:szCs w:val="20"/>
                <w:color w:val="auto"/>
              </w:rPr>
            </w:pPr>
            <w:r>
              <w:rPr>
                <w:rFonts w:ascii="Arial" w:cs="Arial" w:eastAsia="Arial" w:hAnsi="Arial"/>
                <w:sz w:val="14"/>
                <w:szCs w:val="14"/>
                <w:b w:val="1"/>
                <w:bCs w:val="1"/>
                <w:color w:val="auto"/>
              </w:rPr>
              <w:t>PLEASE CHECK BOX IF YOU PLAN TO ATTEND THE</w:t>
            </w:r>
          </w:p>
        </w:tc>
        <w:tc>
          <w:tcPr>
            <w:tcW w:w="740" w:type="dxa"/>
            <w:vAlign w:val="bottom"/>
            <w:vMerge w:val="restart"/>
          </w:tcPr>
          <w:p>
            <w:pPr>
              <w:jc w:val="right"/>
              <w:ind w:right="229"/>
              <w:spacing w:after="0"/>
              <w:rPr>
                <w:sz w:val="20"/>
                <w:szCs w:val="20"/>
                <w:color w:val="auto"/>
              </w:rPr>
            </w:pPr>
            <w:r>
              <w:rPr>
                <w:rFonts w:ascii="Arial" w:cs="Arial" w:eastAsia="Arial" w:hAnsi="Arial"/>
                <w:sz w:val="18"/>
                <w:szCs w:val="18"/>
                <w:color w:val="auto"/>
              </w:rPr>
              <w:t>è</w:t>
            </w:r>
          </w:p>
        </w:tc>
        <w:tc>
          <w:tcPr>
            <w:tcW w:w="16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Arial" w:cs="Arial" w:eastAsia="Arial" w:hAnsi="Arial"/>
                <w:sz w:val="14"/>
                <w:szCs w:val="14"/>
                <w:b w:val="1"/>
                <w:bCs w:val="1"/>
                <w:color w:val="auto"/>
              </w:rPr>
              <w:t>MEETING.</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ñDetach above card, sign, date and mail in postage paid envelope provided.ñ</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76465" cy="3644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364490"/>
                    </a:xfrm>
                    <a:prstGeom prst="rect">
                      <a:avLst/>
                    </a:prstGeom>
                    <a:noFill/>
                  </pic:spPr>
                </pic:pic>
              </a:graphicData>
            </a:graphic>
          </wp:anchor>
        </w:drawing>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Your Vote is Important.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Please complete, sign, date and promptly return this proxy using the enclosed postmarked envelope.</w:t>
      </w:r>
    </w:p>
    <w:p>
      <w:pPr>
        <w:spacing w:after="0" w:line="273" w:lineRule="exact"/>
        <w:rPr>
          <w:sz w:val="20"/>
          <w:szCs w:val="20"/>
          <w:color w:val="auto"/>
        </w:rPr>
      </w:pPr>
    </w:p>
    <w:p>
      <w:pPr>
        <w:ind w:right="700"/>
        <w:spacing w:after="0" w:line="239" w:lineRule="auto"/>
        <w:rPr>
          <w:sz w:val="20"/>
          <w:szCs w:val="20"/>
          <w:color w:val="auto"/>
        </w:rPr>
      </w:pPr>
      <w:r>
        <w:rPr>
          <w:rFonts w:ascii="Arial" w:cs="Arial" w:eastAsia="Arial" w:hAnsi="Arial"/>
          <w:sz w:val="14"/>
          <w:szCs w:val="14"/>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2)"/>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1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6"/>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lvl w:ilvl="1">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lowerRoman"/>
      <w:start w:val="2"/>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3"/>
    </w:lvl>
  </w:abstractNum>
  <w:abstractNum w:abstractNumId="48">
    <w:nsid w:val="579478FE"/>
    <w:multiLevelType w:val="hybridMultilevel"/>
    <w:lvl w:ilvl="0">
      <w:lvlJc w:val="left"/>
      <w:lvlText w:val="(%1)"/>
      <w:numFmt w:val="decimal"/>
      <w:start w:val="14"/>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2019-12-11T00:01:57Z</dcterms:created>
  <dcterms:modified xsi:type="dcterms:W3CDTF">2019-12-11T00:01:57Z</dcterms:modified>
</cp:coreProperties>
</file>