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Jetley Vivek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EVP and Head of Analytics</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722</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37,014</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276</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78.56</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36,738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722</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02/20/2020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722</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2,168</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2020.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jc w:val="both"/>
        <w:ind w:left="40" w:right="24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20, 2019, the reporting person was granted 2,890 restricted stock units, vesting in four annual installments beginning on the first anniversary of the grant date. 25 percent of the restricted stock units became vested on February 20, 2020, an additional twenty-five percent of the restricted stock units will vest on February 20, 2021, an additional twenty-five percent of the restricted stock units will vest on February 20, 2022; and the remaining balance of twenty-five percent of the restricted stock units will vest on February 20, 2023.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2020-02-24T16:44:56Z</dcterms:created>
  <dcterms:modified xsi:type="dcterms:W3CDTF">2020-02-24T16:44:56Z</dcterms:modified>
</cp:coreProperties>
</file>