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-10160</wp:posOffset>
            </wp:positionV>
            <wp:extent cx="883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6640" w:type="dxa"/>
            <w:vAlign w:val="bottom"/>
          </w:tcPr>
          <w:p>
            <w:pPr>
              <w:jc w:val="center"/>
              <w:ind w:right="2924"/>
              <w:spacing w:after="0"/>
              <w:rPr>
                <w:sz w:val="20"/>
                <w:szCs w:val="20"/>
                <w:color w:val="auto"/>
              </w:rPr>
            </w:pPr>
            <w:r>
              <w:rPr>
                <w:rFonts w:ascii="Arial" w:cs="Arial" w:eastAsia="Arial" w:hAnsi="Arial"/>
                <w:sz w:val="18"/>
                <w:szCs w:val="18"/>
                <w:b w:val="1"/>
                <w:bCs w:val="1"/>
                <w:color w:val="auto"/>
                <w:w w:val="96"/>
              </w:rPr>
              <w:t>DELAWARE</w:t>
            </w:r>
          </w:p>
        </w:tc>
        <w:tc>
          <w:tcPr>
            <w:tcW w:w="1560" w:type="dxa"/>
            <w:vAlign w:val="bottom"/>
          </w:tcPr>
          <w:p>
            <w:pPr>
              <w:jc w:val="right"/>
              <w:ind w:right="6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640" w:type="dxa"/>
            <w:vAlign w:val="bottom"/>
          </w:tcPr>
          <w:p>
            <w:pPr>
              <w:jc w:val="center"/>
              <w:ind w:right="29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6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40" w:type="dxa"/>
            <w:vAlign w:val="bottom"/>
          </w:tcPr>
          <w:p>
            <w:pPr>
              <w:jc w:val="center"/>
              <w:ind w:right="2924"/>
              <w:spacing w:after="0"/>
              <w:rPr>
                <w:sz w:val="20"/>
                <w:szCs w:val="20"/>
                <w:color w:val="auto"/>
              </w:rPr>
            </w:pPr>
            <w:r>
              <w:rPr>
                <w:rFonts w:ascii="Arial" w:cs="Arial" w:eastAsia="Arial" w:hAnsi="Arial"/>
                <w:sz w:val="14"/>
                <w:szCs w:val="14"/>
                <w:b w:val="1"/>
                <w:bCs w:val="1"/>
                <w:color w:val="auto"/>
                <w:w w:val="88"/>
              </w:rPr>
              <w:t>incorporation or organization)</w:t>
            </w:r>
          </w:p>
        </w:tc>
        <w:tc>
          <w:tcPr>
            <w:tcW w:w="1560" w:type="dxa"/>
            <w:vAlign w:val="bottom"/>
          </w:tcPr>
          <w:p>
            <w:pPr>
              <w:jc w:val="center"/>
              <w:ind w:left="384"/>
              <w:spacing w:after="0"/>
              <w:rPr>
                <w:sz w:val="20"/>
                <w:szCs w:val="20"/>
                <w:color w:val="auto"/>
              </w:rPr>
            </w:pPr>
            <w:r>
              <w:rPr>
                <w:rFonts w:ascii="Arial" w:cs="Arial" w:eastAsia="Arial" w:hAnsi="Arial"/>
                <w:sz w:val="14"/>
                <w:szCs w:val="14"/>
                <w:b w:val="1"/>
                <w:bCs w:val="1"/>
                <w:color w:val="auto"/>
                <w:w w:val="90"/>
              </w:rPr>
              <w:t>Identification No. )</w:t>
            </w:r>
          </w:p>
        </w:tc>
      </w:tr>
      <w:tr>
        <w:trPr>
          <w:trHeight w:val="420"/>
        </w:trPr>
        <w:tc>
          <w:tcPr>
            <w:tcW w:w="664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60" w:type="dxa"/>
            <w:vAlign w:val="bottom"/>
          </w:tcPr>
          <w:p>
            <w:pPr>
              <w:jc w:val="right"/>
              <w:ind w:right="264"/>
              <w:spacing w:after="0"/>
              <w:rPr>
                <w:sz w:val="20"/>
                <w:szCs w:val="20"/>
                <w:color w:val="auto"/>
              </w:rPr>
            </w:pPr>
            <w:r>
              <w:rPr>
                <w:rFonts w:ascii="Arial" w:cs="Arial" w:eastAsia="Arial" w:hAnsi="Arial"/>
                <w:sz w:val="18"/>
                <w:szCs w:val="18"/>
                <w:b w:val="1"/>
                <w:bCs w:val="1"/>
                <w:color w:val="auto"/>
              </w:rPr>
              <w:t>10022</w:t>
            </w:r>
          </w:p>
        </w:tc>
      </w:tr>
      <w:tr>
        <w:trPr>
          <w:trHeight w:val="174"/>
        </w:trPr>
        <w:tc>
          <w:tcPr>
            <w:tcW w:w="6640" w:type="dxa"/>
            <w:vAlign w:val="bottom"/>
          </w:tcPr>
          <w:p>
            <w:pPr>
              <w:jc w:val="center"/>
              <w:ind w:right="29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6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640" w:type="dxa"/>
            <w:vAlign w:val="bottom"/>
          </w:tcPr>
          <w:p>
            <w:pPr>
              <w:jc w:val="right"/>
              <w:ind w:right="1344"/>
              <w:spacing w:after="0"/>
              <w:rPr>
                <w:sz w:val="20"/>
                <w:szCs w:val="20"/>
                <w:color w:val="auto"/>
              </w:rPr>
            </w:pPr>
            <w:r>
              <w:rPr>
                <w:rFonts w:ascii="Arial" w:cs="Arial" w:eastAsia="Arial" w:hAnsi="Arial"/>
                <w:sz w:val="18"/>
                <w:szCs w:val="18"/>
                <w:b w:val="1"/>
                <w:bCs w:val="1"/>
                <w:color w:val="auto"/>
              </w:rPr>
              <w:t>(212) 277-7100</w:t>
            </w:r>
          </w:p>
        </w:tc>
        <w:tc>
          <w:tcPr>
            <w:tcW w:w="1560" w:type="dxa"/>
            <w:vAlign w:val="bottom"/>
          </w:tcPr>
          <w:p>
            <w:pPr>
              <w:spacing w:after="0"/>
              <w:rPr>
                <w:sz w:val="24"/>
                <w:szCs w:val="24"/>
                <w:color w:val="auto"/>
              </w:rPr>
            </w:pPr>
          </w:p>
        </w:tc>
      </w:tr>
      <w:tr>
        <w:trPr>
          <w:trHeight w:val="174"/>
        </w:trPr>
        <w:tc>
          <w:tcPr>
            <w:tcW w:w="6640" w:type="dxa"/>
            <w:vAlign w:val="bottom"/>
          </w:tcPr>
          <w:p>
            <w:pPr>
              <w:jc w:val="center"/>
              <w:ind w:left="262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60" w:type="dxa"/>
            <w:vAlign w:val="bottom"/>
          </w:tcPr>
          <w:p>
            <w:pPr>
              <w:spacing w:after="0"/>
              <w:rPr>
                <w:sz w:val="15"/>
                <w:szCs w:val="15"/>
                <w:color w:val="auto"/>
              </w:rPr>
            </w:pPr>
          </w:p>
        </w:tc>
      </w:tr>
    </w:tbl>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230" w:right="379" w:bottom="1440" w:gutter="0" w:footer="0" w:header="0"/>
        </w:sectPr>
      </w:pPr>
    </w:p>
    <w:p>
      <w:pPr>
        <w:spacing w:after="0" w:line="132"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440" w:space="80"/>
            <w:col w:w="160" w:space="340"/>
            <w:col w:w="1220" w:space="80"/>
            <w:col w:w="160" w:space="360"/>
            <w:col w:w="1580" w:space="80"/>
            <w:col w:w="2780"/>
          </w:cols>
          <w:pgMar w:left="24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680"/>
          </w:cols>
          <w:pgMar w:left="240" w:top="230" w:right="379" w:bottom="1440" w:gutter="0" w:footer="0" w:header="0"/>
          <w:type w:val="continuous"/>
        </w:sectPr>
      </w:pPr>
    </w:p>
    <w:p>
      <w:pPr>
        <w:spacing w:after="0" w:line="6" w:lineRule="exact"/>
        <w:rPr>
          <w:sz w:val="24"/>
          <w:szCs w:val="24"/>
          <w:color w:val="auto"/>
        </w:rPr>
      </w:pPr>
    </w:p>
    <w:p>
      <w:pPr>
        <w:ind w:right="60" w:firstLine="456"/>
        <w:spacing w:after="0" w:line="332"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October 31, 2006, there were 28,088,676 shares of the registrant’s common stock outstanding (excluding 149,138 shares held in treasury),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jc w:val="center"/>
        <w:ind w:right="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r>
      <w:tr>
        <w:trPr>
          <w:trHeight w:val="163"/>
        </w:trPr>
        <w:tc>
          <w:tcPr>
            <w:tcW w:w="380" w:type="dxa"/>
            <w:vAlign w:val="bottom"/>
          </w:tcPr>
          <w:p>
            <w:pPr>
              <w:spacing w:after="0" w:line="16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4"/>
                <w:szCs w:val="14"/>
                <w:color w:val="auto"/>
              </w:rPr>
            </w:pPr>
          </w:p>
        </w:tc>
        <w:tc>
          <w:tcPr>
            <w:tcW w:w="2100" w:type="dxa"/>
            <w:vAlign w:val="bottom"/>
            <w:tcBorders>
              <w:bottom w:val="single" w:sz="8" w:color="0000EE"/>
            </w:tcBorders>
            <w:gridSpan w:val="8"/>
          </w:tcPr>
          <w:p>
            <w:pPr>
              <w:spacing w:after="0" w:line="163"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FINANCIAL STATEMENTS</w:t>
              </w:r>
            </w:hyperlink>
          </w:p>
        </w:tc>
        <w:tc>
          <w:tcPr>
            <w:tcW w:w="8360" w:type="dxa"/>
            <w:vAlign w:val="bottom"/>
            <w:gridSpan w:val="12"/>
          </w:tcPr>
          <w:p>
            <w:pPr>
              <w:spacing w:after="0"/>
              <w:rPr>
                <w:sz w:val="14"/>
                <w:szCs w:val="14"/>
                <w:color w:val="auto"/>
              </w:rPr>
            </w:pPr>
          </w:p>
        </w:tc>
        <w:tc>
          <w:tcPr>
            <w:tcW w:w="3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0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September 30, 2006 and December 31, 2005</w:t>
              </w:r>
            </w:hyperlink>
          </w:p>
        </w:tc>
        <w:tc>
          <w:tcPr>
            <w:tcW w:w="35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and Nine Months Ended September 30, 2006 and 2005</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6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Cash Flows (Unaudited) for the Nine Months Ended September 30, 2006 and 2005</w:t>
              </w:r>
            </w:hyperlink>
          </w:p>
        </w:tc>
        <w:tc>
          <w:tcPr>
            <w:tcW w:w="178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4720" w:type="dxa"/>
            <w:vAlign w:val="bottom"/>
            <w:tcBorders>
              <w:top w:val="single" w:sz="8" w:color="0000EE"/>
            </w:tcBorders>
            <w:gridSpan w:val="8"/>
          </w:tcPr>
          <w:p>
            <w:pPr>
              <w:spacing w:after="0"/>
              <w:rPr>
                <w:sz w:val="17"/>
                <w:szCs w:val="17"/>
                <w:color w:val="auto"/>
              </w:rPr>
            </w:pPr>
          </w:p>
        </w:tc>
        <w:tc>
          <w:tcPr>
            <w:tcW w:w="224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416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620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r>
      <w:tr>
        <w:trPr>
          <w:trHeight w:val="41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9"/>
          </w:tcPr>
          <w:p>
            <w:pPr>
              <w:ind w:left="12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Legal Proceedings</w:t>
              </w:r>
            </w:hyperlink>
          </w:p>
        </w:tc>
        <w:tc>
          <w:tcPr>
            <w:tcW w:w="2480" w:type="dxa"/>
            <w:vAlign w:val="bottom"/>
            <w:gridSpan w:val="6"/>
          </w:tcPr>
          <w:p>
            <w:pPr>
              <w:spacing w:after="0"/>
              <w:rPr>
                <w:sz w:val="24"/>
                <w:szCs w:val="24"/>
                <w:color w:val="auto"/>
              </w:rPr>
            </w:pPr>
          </w:p>
        </w:tc>
        <w:tc>
          <w:tcPr>
            <w:tcW w:w="2680" w:type="dxa"/>
            <w:vAlign w:val="bottom"/>
            <w:tcBorders>
              <w:top w:val="single" w:sz="8" w:color="0000EE"/>
            </w:tcBorders>
            <w:gridSpan w:val="4"/>
          </w:tcPr>
          <w:p>
            <w:pPr>
              <w:spacing w:after="0"/>
              <w:rPr>
                <w:sz w:val="24"/>
                <w:szCs w:val="24"/>
                <w:color w:val="auto"/>
              </w:rPr>
            </w:pPr>
          </w:p>
        </w:tc>
        <w:tc>
          <w:tcPr>
            <w:tcW w:w="400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1A.</w:t>
            </w:r>
          </w:p>
        </w:tc>
        <w:tc>
          <w:tcPr>
            <w:tcW w:w="20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Risk Factors</w:t>
              </w:r>
            </w:hyperlink>
          </w:p>
        </w:tc>
        <w:tc>
          <w:tcPr>
            <w:tcW w:w="958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42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Unregistered Sales of Equity Securities and Use of Proceeds</w:t>
              </w:r>
            </w:hyperlink>
          </w:p>
        </w:tc>
        <w:tc>
          <w:tcPr>
            <w:tcW w:w="622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Submission of Matters to a Vote of Security Holders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17"/>
                <w:szCs w:val="17"/>
                <w:color w:val="auto"/>
              </w:rPr>
            </w:pPr>
          </w:p>
        </w:tc>
        <w:tc>
          <w:tcPr>
            <w:tcW w:w="680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r>
      <w:tr>
        <w:trPr>
          <w:trHeight w:val="20"/>
        </w:trPr>
        <w:tc>
          <w:tcPr>
            <w:tcW w:w="5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80" w:type="dxa"/>
            <w:vAlign w:val="bottom"/>
            <w:gridSpan w:val="1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r>
      <w:tr>
        <w:trPr>
          <w:trHeight w:val="20"/>
        </w:trPr>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25,628,874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27,632,396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14,762,331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1,037,839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2,065,481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2,078,471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59,518,304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43,020,998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14,917,242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16,206,665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10,878,140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4,021,636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2,266,800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92,394,415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62,576,311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1,774,887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1,391,775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5,951,416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7,608,889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8,914,017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3,408,714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12,012,032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6,319,374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1,783,522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30,673,479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19,721,545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5,802,873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5,583,499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36,708,819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25,561,344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55,000 shares authorized: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3"/>
              </w:rPr>
              <w:t>45,833.36 designated as Series A redeemable shares; 45,304 issued and outstanding, (liquidation preference $6,661,757 at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2006 and $6,183,584 at December 31, 2005)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6,594,257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6,071,084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$0.001 par value; 13,000,000 shares authorized (26,000,000 shares after giving effect to Stock Split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Conversion): 11,122,702 designated as Series A (22,245,404 shares after giving effect to Stock Split and Conversion);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10,606,759 shares (21,213,518 after giving effect to Stock Split and Conversion) issued and outstanding as of September 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and 10,081,778 shares as of December 31, 2005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7"/>
              </w:rPr>
              <w:t>1,839,230 designated as Series B (3,678,460 shares after giving effect to Stock Split and Conversion); 636,123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w w:val="94"/>
              </w:rPr>
              <w:t>(1,272,246 after giving effect to Stock Split and Conversion) issued at September 30, 2006 and 583,479 shares issued at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27,473,068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17,102,069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22,731,847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15,235,424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(1,089,303)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(1,189,628)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49,126,855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30,958,342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89"/>
              </w:rPr>
              <w:t>Less: 74,569 shares (149,138 after giving effect to Stock Split and Conversion) as at September 30, 2006 and 61,414 shares as at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December 31, 2005, of Series B common stock held in treasury, at cost</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(35,516)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49,091,339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30,943,883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92,394,415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62,576,311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4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35,081,504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18,283,120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81,189,101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53,614,945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Revenues (from related party)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583,541</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85,860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1,264,186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35,665,045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18,368,980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82,453,287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53,974,673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21,490,479</w:t>
            </w:r>
          </w:p>
        </w:tc>
        <w:tc>
          <w:tcPr>
            <w:tcW w:w="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11,440,529</w:t>
            </w: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51,378,118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35,104,597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14,174,566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6,928,451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31,075,169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18,870,076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5,802,239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3,665,076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13,110,619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9,706,772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1,635,644</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419,924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3,083,744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1,213,363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2,614,929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1,497,937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6,254,903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4,477,588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10,052,812</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5,582,937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22,449,266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15,397,723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4,121,754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1,345,514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8,625,903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3,472,353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11,681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441,513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1,522,203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310,945</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258,306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(275,310)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(83,420)</w:t>
            </w:r>
          </w:p>
        </w:tc>
        <w:tc>
          <w:tcPr>
            <w:tcW w:w="10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(396,697)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4,169,070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1,868,103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8,370,940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0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(152,084)</w:t>
            </w:r>
          </w:p>
        </w:tc>
        <w:tc>
          <w:tcPr>
            <w:tcW w:w="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696,374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351,344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963,125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4,321,154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1,171,729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8,019,596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3,852,503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0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(180,794)</w:t>
            </w:r>
          </w:p>
        </w:tc>
        <w:tc>
          <w:tcPr>
            <w:tcW w:w="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(80,796)</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(523,173)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4,140,360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1,090,933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7,496,423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to common stockholders</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gridSpan w:val="2"/>
            <w:vMerge w:val="continue"/>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to common stockholders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00" w:type="dxa"/>
            <w:vAlign w:val="bottom"/>
            <w:gridSpan w:val="2"/>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CCEEFF"/>
          </w:tcPr>
          <w:p>
            <w:pPr>
              <w:spacing w:after="0" w:line="218" w:lineRule="exact"/>
              <w:rPr>
                <w:sz w:val="20"/>
                <w:szCs w:val="20"/>
                <w:color w:val="auto"/>
              </w:rPr>
            </w:pPr>
            <w:r>
              <w:rPr>
                <w:rFonts w:ascii="Arial" w:cs="Arial" w:eastAsia="Arial" w:hAnsi="Arial"/>
                <w:sz w:val="25"/>
                <w:szCs w:val="25"/>
                <w:color w:val="auto"/>
                <w:vertAlign w:val="subscript"/>
              </w:rPr>
              <w:t>Basic</w:t>
            </w:r>
            <w:r>
              <w:rPr>
                <w:rFonts w:ascii="Arial" w:cs="Arial" w:eastAsia="Arial" w:hAnsi="Arial"/>
                <w:sz w:val="10"/>
                <w:szCs w:val="10"/>
                <w:color w:val="auto"/>
              </w:rPr>
              <w:t>(1) (2)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21,603,812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21,108,418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21,583,084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21,164,290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 (2)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21,997,319</w:t>
            </w:r>
          </w:p>
        </w:tc>
        <w:tc>
          <w:tcPr>
            <w:tcW w:w="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21,556,916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21,912,253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21,674,590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right="200" w:hanging="452"/>
        <w:spacing w:after="0" w:line="254"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number of shares used in computing earnings per share for the three months and nine months ended September 30, 2006 and 2005 includes Series A and Series B common stock.</w:t>
      </w:r>
    </w:p>
    <w:p>
      <w:pPr>
        <w:ind w:left="460" w:right="400" w:hanging="452"/>
        <w:spacing w:after="0" w:line="255"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shares and earnings per share data has been adjusted to give effect to the Stock Split and Conversion effected by the Company on October 24, 2006 in connection with the consummation of its initial public offering but do not include the 5,750,000 shares issued as part of the initial public offering. See Note 17.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8,019,596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3,852,503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6,254,903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4,477,589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1,280,113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Interest on senior long 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219,374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Foreign exchange loss (unrealized)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1,331,004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(1,587,169)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(5,649,585)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(1,744,669)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2,089,565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5,263,488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1,249,921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(2,616,075)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10,813,654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10,963,548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(3,771,822)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(2,701,785)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Business acquisition (net of cash)</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(952,846)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(4,724,568)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(2,701,785)</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Repayment of bank borrowings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(3,150,000)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 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Outflow from treasury stock transactions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(4,538,396)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(153,386)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(260,547)</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1,388,242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7,847,830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18,760,120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25,628,874</w:t>
            </w: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26,607,950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127,554</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2,288,491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Fair value of the shares issued for non cash consideration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9,134,669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12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 Service.com, Inc. (“Exl Inc.”), ExlService.com (India) Private Limited (“Exl India”), Noida Customer Operations Private Limited (“NCOP”), Exl Support Services Pvt. Ltd. (“ESSPL”), ExlService (U.K.) Limited (“Exl UK”) and Inductis Inc. (a newly acquired company) and its wholly owned subsidiaries (“Inductis”) (collectively, the “Company”), is a recognized provider of offshore solutions, including business process outsourcing (”BPO”), research and analytics services, and advisory services. The Company’s clients are located principally in the United States and the United Kingdom.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unaudited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Annual Consolidated Financial Statements of ExlService Holdings for the fiscal year ended December 31, 2005 and Management’s Discussion and Analysis of Financial Condition and Results of Operations included in the Company’s Registration Statement on Form S-1, as amended (Registration No. 333-121001).</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unaudited interim financial statements reflect all adjustments (of a normal and recurring nature) which management considers necessary for a fair presentation of the consolidated statements of income for these periods. The consolidated statements of income for the interim periods is not necessarily indicative of the results for the full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consolidated balance sheet at December 31, 2005 was derived from the audited consolidated balance sheet of ExlService Holdings, Inc. at that date.</w:t>
      </w:r>
    </w:p>
    <w:p>
      <w:pPr>
        <w:spacing w:after="0" w:line="281" w:lineRule="exact"/>
        <w:rPr>
          <w:sz w:val="20"/>
          <w:szCs w:val="20"/>
          <w:color w:val="auto"/>
        </w:rPr>
      </w:pPr>
    </w:p>
    <w:p>
      <w:pPr>
        <w:ind w:right="776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ExlService Holdings and its subsidiaries. All significant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The preparation of the consolidated financial statements in conformity with U.S. generally accepted accounting principles requires management to make estimates and assumptions that affect the reported amounts of assets and liabilities and disclosure of</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b w:val="1"/>
          <w:bCs w:val="1"/>
          <w:i w:val="1"/>
          <w:iCs w:val="1"/>
          <w:color w:val="auto"/>
        </w:rPr>
        <w:t>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functional currency of each entity in the Company is its respective local country currency, being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the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Revenues from BPO services include revenue from a range of services, including insurance services, banking and financial services, finance and accounting services and collection services. Revenues from advisory services include revenues from various services such as Sarbanes 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11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time-and-material, cost-plus and unit-priced arrangements. The Company recognizes revenue from the last billing date to the balance sheet date as unbilled revenues and recognizes billings in excess of revenues earned or advances received from clients as deferred revenue.</w:t>
      </w:r>
    </w:p>
    <w:p>
      <w:pPr>
        <w:spacing w:after="0" w:line="9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accordance with 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the Company has accounted for reimbursements received for out-of-pocket expenses incurred as revenues in the consolidated statements of income. The Company typically incurs telecommunication and travel-related costs that are billed to and reimbursed by clients.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1,427,367</w:t>
            </w: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Three Months Ended September 30, 2005</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673,496</w:t>
            </w: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3,379,371</w:t>
            </w:r>
          </w:p>
        </w:tc>
      </w:tr>
      <w:tr>
        <w:trPr>
          <w:trHeight w:val="222"/>
        </w:trPr>
        <w:tc>
          <w:tcPr>
            <w:tcW w:w="46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Nine Months Ended September 30, 2005</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2,245,942</w:t>
            </w:r>
          </w:p>
        </w:tc>
      </w:tr>
    </w:tbl>
    <w:p>
      <w:pPr>
        <w:spacing w:after="0" w:line="147"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During the three months ended September 30, 2006, three customers accounted for 29.4%, 16.3% and 11.5%, respectively, of the Company’s total revenues. During the three months ended September 30, 2005, two customers accounted for 49.5% and 14% respectively, of the Company’s total revenues.</w:t>
      </w:r>
    </w:p>
    <w:p>
      <w:pPr>
        <w:spacing w:after="0" w:line="6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nine months ended September 30, 2006, two customers accounted for 37.5% and 13.8% respectively, of the Company’s total revenues. During the nine months ended September 30, 2005, two customers accounted for 50.8% and 16.7% respectively, of the Company’s total revenues.</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September 30, 2006, four customers accounted for 23.2%, 19.4%, 13.1% and 11.7% respectively, of the Company’s total accounts receivable. As of December 31, 2005, two customers accounted for 49% and 13% respectively, of the Company’s total accounts receivable.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has adopted 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which requires that the purchase method of accounting be used for all business combinations. SFAS No. 141 specifies criteria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Intangible assets acquired individually, with a group of other assets or in a business combination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840" w:type="dxa"/>
            <w:vAlign w:val="bottom"/>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Trademarks</w:t>
            </w:r>
          </w:p>
        </w:tc>
        <w:tc>
          <w:tcPr>
            <w:tcW w:w="284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1 year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is generally organized around its business process outsourcing service, advisory service and research and analytics service lines. These service lines do not have operating managers who report to the chief operating decision maker. The chief operating decision maker generally reviews financial information at consolidated statements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Revenues and cost of revenues for the three months ended September 30, 2006 and 2005 for business processing outsourcing services, advisory services and research and analytics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Three months ended September 30, 2006</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2005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Advisory</w:t>
            </w:r>
          </w:p>
        </w:tc>
        <w:tc>
          <w:tcPr>
            <w:tcW w:w="1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Research &amp;</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3"/>
              </w:rPr>
              <w:t>Advisory</w:t>
            </w:r>
          </w:p>
        </w:tc>
        <w:tc>
          <w:tcPr>
            <w:tcW w:w="2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Research &amp;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BPO</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Analytics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BPO</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3"/>
              </w:rPr>
              <w:t>Services</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6"/>
              </w:rPr>
              <w:t>Analytics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$25,946,420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$2,295,794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$6,839,290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35,081,504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15,913,632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2,042,330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$ 327,158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18,283,120</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186,525</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85,860</w:t>
            </w: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26,132,945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2,687,910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6,844,190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35,665,045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15,913,632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2,128,190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18,368,980</w:t>
            </w: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revenue (exclusive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15,623,428</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1,535,228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4,331,823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21,490,479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10,133,775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1,150,239</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11,440,529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$10,509,517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$1,152,682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$2,512,367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14,174,566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5,779,857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977,951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$ 170,643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6,928,451</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2,614,929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1,497,937</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258,306</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(275,310)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(93,810)</w:t>
            </w: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Interest expense—redeemable preferred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(83,420)</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696,374</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4,362,244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1,171,729</w:t>
            </w:r>
          </w:p>
        </w:tc>
      </w:tr>
      <w:tr>
        <w:trPr>
          <w:trHeight w:val="36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6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2006(UNAUDITED)</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Revenues and cost of revenues for the nine months ended September 30, 2006 and 2005 for business processing outsourcing services, advisory services and research and analytics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Nine months ended September 30, 2006</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Nine months ended September 30, 2005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Advisory</w:t>
            </w:r>
          </w:p>
        </w:tc>
        <w:tc>
          <w:tcPr>
            <w:tcW w:w="1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Research &amp;</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Advisory</w:t>
            </w:r>
          </w:p>
        </w:tc>
        <w:tc>
          <w:tcPr>
            <w:tcW w:w="2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Research &amp;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BPO</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Analytics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BPO</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Analytics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$68,017,315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$5,398,552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$7,773,234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81,189,101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$47,920,840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$ 5,177,527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$ 516,578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53,614,945</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342,860</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1,264,186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359,728</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68,360,175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6,314,978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7,778,134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82,453,287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47,920,840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5,537,255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53,974,673</w:t>
            </w: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revenue (exclusive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42,617,703</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3,882,082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4,878,333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51,378,118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31,874,937</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2,851,221</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35,104,597</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$25,742,472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$2,432,896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$2,899,801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31,075,169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$16,045,903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$ 2,686,034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$ 138,139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18,870,076</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6,254,903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4,477,588</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501,467</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(479,077)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(283,698)</w:t>
            </w: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Interest expense—redeemable preferred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(396,697)</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963,125</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8,060,686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3,852,503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No. 133”) Changes in the fair values of contracts that are deemed effective are recorded as a component of accumulated other comprehensive income until the settlement of that contract. The Company reports comprehensive income (loss) in the consolidated statements of stockholders’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and time deposits. By their nature, all such financial instruments involve risks including the credit risks of non-performance by counter 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polices with counter parties that are highly rated financial institutions. The Company’s primary exchange rate exposure is with the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income. The Company evaluates hedge effectiveness at the time a contract is entered into as well as on an ongoing basis. If during this time, a contract is deemed ineffective, the change in the fair value is recorded in the consolidated statements of income.</w:t>
      </w:r>
    </w:p>
    <w:p>
      <w:pPr>
        <w:spacing w:after="0" w:line="12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entered into forward exchange contracts during the three months ended September 30, 2006. At September 30, 2006, forward exchange contracts of $35,500,000 and GBP 13,000,000 were outstanding.</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evaluated the effectiveness of all forward contracts. For the three months ended September 30, 2006 and 2005, net gains (losses) from ineffective cash flow hedges included in the consolidated statements of income totaled approximately ($286,268) and $422,603, respectively. For the nine months ended September 30, 2006 and 2005, net gains (losses) from ineffective cash flow hedges included in the consolidated statements of income totaled ($1,293,268) and $1,154,603, respectively. Such gain/(loss) is included in foreign exchange gain/(loss) in the consolidated statements of income. For hedge relationships discontinued because the forecasted transaction is not expected to occur by the end of the originally specified period, any related derivative amounts recorded in equity are reclassified to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 – an amendment of FASB Statements No 133 and</w:t>
      </w:r>
      <w:r>
        <w:rPr>
          <w:rFonts w:ascii="Arial" w:cs="Arial" w:eastAsia="Arial" w:hAnsi="Arial"/>
          <w:sz w:val="16"/>
          <w:szCs w:val="16"/>
          <w:color w:val="auto"/>
        </w:rPr>
        <w:t xml:space="preserve"> </w:t>
      </w:r>
      <w:r>
        <w:rPr>
          <w:rFonts w:ascii="Arial" w:cs="Arial" w:eastAsia="Arial" w:hAnsi="Arial"/>
          <w:sz w:val="16"/>
          <w:szCs w:val="16"/>
          <w:i w:val="1"/>
          <w:iCs w:val="1"/>
          <w:color w:val="auto"/>
        </w:rPr>
        <w:t>140</w:t>
      </w:r>
      <w:r>
        <w:rPr>
          <w:rFonts w:ascii="Arial" w:cs="Arial" w:eastAsia="Arial" w:hAnsi="Arial"/>
          <w:sz w:val="16"/>
          <w:szCs w:val="16"/>
          <w:color w:val="auto"/>
        </w:rPr>
        <w:t>” (“SFAS No. 155”). SFAS No. 155 permits fair value remeasurement for any hybrid financial instrument that contains an embedded derivative that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The Company does not expect the adoption of SFAS No. 155 to have a material impact on its consolidated financial position, consolidated statements of income or cash flows.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(“SFAS No. 156”), which clarifies the accounting for separately recognized servicing assets and liabilities. SFAS No. 156 is effective in fiscal years beginning after September 15, 2006. The Company does not believe the adoption of SFAS No. 156 will have a material impact on its consolidated financial position, consolidated statements of income or cash flows.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July 2006, the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FIN 48 is effective for fiscal years beginning after December 15, 2006. The Company has not yet evaluated the impact of adopting FIN 48 on its consolidated financial position, consolidated Statements of income or cash flows. However, we do not believe that our accounting for the two current India tax assessments pending against certain of our subsidiaries will be impacted by the adoption of FIN 48.</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which defines fair value, establishes guidelines for measuring fair value and expands disclosures regarding fair value measurements. SFAS No. 157 does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2006(UNAUDITED)</w:t>
      </w:r>
    </w:p>
    <w:p>
      <w:pPr>
        <w:spacing w:after="0" w:line="16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not require any new fair value measurements but rather eliminates inconsistencies in guidance found in various prior accounting pronouncements. SFAS No. 157 is effective for fiscal years beginning after November 15, 2007. The Company is currently evaluating the impact of SFAS No. 157, but does not expect the adoption of SFAS No. 157 to have a material impact on its consolidated financial position, consolidated statements of income or cash flows.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29, 2006, FASB issued SFAS No. 158, “</w:t>
      </w:r>
      <w:r>
        <w:rPr>
          <w:rFonts w:ascii="Arial" w:cs="Arial" w:eastAsia="Arial" w:hAnsi="Arial"/>
          <w:sz w:val="16"/>
          <w:szCs w:val="16"/>
          <w:i w:val="1"/>
          <w:iCs w:val="1"/>
          <w:color w:val="auto"/>
        </w:rPr>
        <w:t>Employers’ Accounting for Defined Benefit Pension and Other Postretirement Plans</w:t>
      </w:r>
      <w:r>
        <w:rPr>
          <w:rFonts w:ascii="Arial" w:cs="Arial" w:eastAsia="Arial" w:hAnsi="Arial"/>
          <w:sz w:val="16"/>
          <w:szCs w:val="16"/>
          <w:color w:val="auto"/>
        </w:rPr>
        <w:t>” (“SFAS No. 158”). The standard amends SFAS Nos. 87, 88, 106, and 132R. Under past accounting standards, the funded status of an employer’s postretirement benefit plan (i.e., the difference between the plan assets and obligations) was not always completely reported in the balance sheet. Employers reported an asset or liability that almost always differed from the plan’s funded status because previous accounting standards allowed employers to delay recognition of certain changes in plan assets and obligations that affected the costs of providing such benefits. Past standards only required an employer to disclose the complete funded status of its plans in the notes to the financial statements. SFAS No. 158 requires an employer to:</w:t>
      </w:r>
    </w:p>
    <w:p>
      <w:pPr>
        <w:spacing w:after="0" w:line="3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in its statement of financial position an asset for a plan’s overfunded status or a liability for a plan’s underfunded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measure a plan’s assets and its obligations that determine its funded status as of the end of the employer’s fiscal year (with limited exceptions); and</w:t>
      </w:r>
    </w:p>
    <w:p>
      <w:pPr>
        <w:spacing w:after="0" w:line="113" w:lineRule="exact"/>
        <w:rPr>
          <w:rFonts w:ascii="Arial" w:cs="Arial" w:eastAsia="Arial" w:hAnsi="Arial"/>
          <w:sz w:val="16"/>
          <w:szCs w:val="16"/>
          <w:color w:val="auto"/>
        </w:rPr>
      </w:pPr>
    </w:p>
    <w:p>
      <w:pPr>
        <w:ind w:left="900" w:right="6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recognize changes in the funded status of a defined benefit postretirement plan in the year in which the changes occur. Those changes will be reported in comprehensive income of a business entity and in changes in net assets of a not-for-profit organization.</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requirement to recognize the funded status of a benefit plan and the disclosure requirements are effective as of the end of the fiscal year ending after December 15, 2006, for public companies. The requirement to measure plan assets and benefit obligations as of the date of the employer’s fiscal year-end statement of financial position is effective for fiscal years ending after December 15, 2008. The Company is assessing the impact of adoption of SFAS No. 158 on its consolidated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Inductis Inc.</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July 1, 2006, the Company acquired all of the outstanding capital stock of Inductis Inc. (“Inductis”) for a combination of cash and stock consideration of $11.5 million, which is accounted under the purchase method. The above consideration includes transaction costs of $0.9 million. Management believes that this acquisition will enable the Company to expand the types and sophistication of the research and analytics services which are currently being offered by the Company. The results of operations of Inductis are consolidated in the Company’s financial statements from July 1, 2006.</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terms of the purchase also provide for payment of contingent consideration to the existing shareholders of Inductis in two tranches, calculated based on the achievement of specified earnings and revenue targets and payable in 2007 and 2008.</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contingent consideration is payable either in cash or in common stock of the Company. The Company has followed the consensus reached in EITF 95-8, </w:t>
      </w:r>
      <w:r>
        <w:rPr>
          <w:rFonts w:ascii="Arial" w:cs="Arial" w:eastAsia="Arial" w:hAnsi="Arial"/>
          <w:sz w:val="18"/>
          <w:szCs w:val="18"/>
          <w:i w:val="1"/>
          <w:iCs w:val="1"/>
          <w:color w:val="auto"/>
        </w:rPr>
        <w:t>Accounting for Contingent Consideration Paid to Shareholders of an Acquired Enterprise in a Purchase Business Combination</w:t>
      </w:r>
      <w:r>
        <w:rPr>
          <w:rFonts w:ascii="Arial" w:cs="Arial" w:eastAsia="Arial" w:hAnsi="Arial"/>
          <w:sz w:val="18"/>
          <w:szCs w:val="18"/>
          <w:color w:val="auto"/>
        </w:rPr>
        <w:t>, and will record contingent payments as goodwill in the period in which the contingency is resolved.</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purchase consideration for the above acquisition has been preliminary allocated to the acquired assets and assumed liabilities as follows (in millions):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 compete agreements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Currents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102"/>
        </w:trPr>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(10.2)</w:t>
            </w: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 liabilities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90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entire goodwill of $10.9 million acquired from Inductis was allocated to the research and analytics service line.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Results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the Company and Inductis, on a pro forma basis, as though the companies had been combined as of the beginning of the period presented. The pro forma financial information is presented for informational purposes only and is not indicative of the results of operations that would have been achieved if the acquisition had taken place on January 1, 2006 or of results that may occur in the future. The pro forma consolidated results of operations include adjustments to give effect to amortization of acquired intangible assets other than goodwill, and certain other adjustments together with related income tax effects.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unaudited pro forma financial information for the three months and the nine months ended September 30, 2005 combines the historical results for the Company for the three months and the nine months ended September 30, 2005 and the historical results for Inductis for the three months and the nine months ended September 30, 2005.</w:t>
      </w: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3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260" w:type="dxa"/>
            <w:vAlign w:val="bottom"/>
          </w:tcPr>
          <w:p>
            <w:pPr>
              <w:spacing w:after="0"/>
              <w:rPr>
                <w:sz w:val="14"/>
                <w:szCs w:val="14"/>
                <w:color w:val="auto"/>
              </w:rPr>
            </w:pPr>
          </w:p>
        </w:tc>
        <w:tc>
          <w:tcPr>
            <w:tcW w:w="23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26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2006</w:t>
            </w:r>
          </w:p>
        </w:tc>
        <w:tc>
          <w:tcPr>
            <w:tcW w:w="1140" w:type="dxa"/>
            <w:vAlign w:val="bottom"/>
            <w:tcBorders>
              <w:top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2006</w:t>
            </w:r>
          </w:p>
        </w:tc>
        <w:tc>
          <w:tcPr>
            <w:tcW w:w="11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5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(in $ millions</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2"/>
              </w:rPr>
              <w:t>except</w:t>
            </w:r>
          </w:p>
        </w:tc>
        <w:tc>
          <w:tcPr>
            <w:tcW w:w="86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share data)</w:t>
            </w: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Income to common stockholders(a)(b)</w:t>
            </w: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c>
          <w:tcPr>
            <w:tcW w:w="1480" w:type="dxa"/>
            <w:vAlign w:val="bottom"/>
            <w:gridSpan w:val="3"/>
          </w:tcPr>
          <w:p>
            <w:pPr>
              <w:jc w:val="right"/>
              <w:ind w:right="212"/>
              <w:spacing w:after="0"/>
              <w:rPr>
                <w:sz w:val="20"/>
                <w:szCs w:val="20"/>
                <w:color w:val="auto"/>
              </w:rPr>
            </w:pPr>
            <w:r>
              <w:rPr>
                <w:rFonts w:ascii="Arial" w:cs="Arial" w:eastAsia="Arial" w:hAnsi="Arial"/>
                <w:sz w:val="18"/>
                <w:szCs w:val="18"/>
                <w:color w:val="auto"/>
              </w:rPr>
              <w:t>(0.56)</w:t>
            </w: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 per share to common stockholders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480" w:type="dxa"/>
            <w:vAlign w:val="bottom"/>
            <w:gridSpan w:val="3"/>
          </w:tcPr>
          <w:p>
            <w:pPr>
              <w:jc w:val="right"/>
              <w:ind w:right="272"/>
              <w:spacing w:after="0"/>
              <w:rPr>
                <w:sz w:val="20"/>
                <w:szCs w:val="20"/>
                <w:color w:val="auto"/>
              </w:rPr>
            </w:pPr>
            <w:r>
              <w:rPr>
                <w:rFonts w:ascii="Arial" w:cs="Arial" w:eastAsia="Arial" w:hAnsi="Arial"/>
                <w:sz w:val="18"/>
                <w:szCs w:val="18"/>
                <w:color w:val="auto"/>
              </w:rPr>
              <w:t>-0.03</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21,603,812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21,108,418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21,583,084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21,164,290</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21,997,319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21,556,916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21,912,253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21,674,590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531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89" w:lineRule="exact"/>
        <w:rPr>
          <w:sz w:val="20"/>
          <w:szCs w:val="20"/>
          <w:color w:val="auto"/>
        </w:rPr>
      </w:pPr>
    </w:p>
    <w:p>
      <w:pPr>
        <w:ind w:left="1480" w:right="180" w:hanging="567"/>
        <w:spacing w:after="0" w:line="25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 forma financials for three and the nine months ended September 30, 2005 include $1.77 million and $1.92 million, respectively on account of impairment of a loan at Inductis, which the Company did not assume in the acquisition.</w:t>
      </w:r>
    </w:p>
    <w:p>
      <w:pPr>
        <w:ind w:left="1480" w:right="920" w:hanging="567"/>
        <w:spacing w:after="0" w:line="261"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 forma financials are adjusted for amortization of intangibles, income tax adjustment on account of intangibles and stock compensation expense related to grants of restricted stock given in the Inductis Acquisition.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other intangible assets acquired in a business combination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2006</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1"/>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640" w:type="dxa"/>
            <w:vAlign w:val="bottom"/>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Net carrying amount</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55,000)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1,360,000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(170,000)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1,190,000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1,460,000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(365,000)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1,095,000</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22"/>
        </w:trPr>
        <w:tc>
          <w:tcPr>
            <w:tcW w:w="5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3,150,000</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590,000)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2,560,000</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schedule for the intangible assets on a straight-line basis is set out below:</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6040" w:type="dxa"/>
            <w:vAlign w:val="bottom"/>
          </w:tcPr>
          <w:p>
            <w:pPr>
              <w:spacing w:after="0"/>
              <w:rPr>
                <w:sz w:val="20"/>
                <w:szCs w:val="20"/>
                <w:color w:val="auto"/>
              </w:rPr>
            </w:pPr>
            <w:r>
              <w:rPr>
                <w:rFonts w:ascii="Arial" w:cs="Arial" w:eastAsia="Arial" w:hAnsi="Arial"/>
                <w:sz w:val="14"/>
                <w:szCs w:val="14"/>
                <w:b w:val="1"/>
                <w:bCs w:val="1"/>
                <w:color w:val="auto"/>
              </w:rPr>
              <w:t>Year ended September 30,</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$1,995,000</w:t>
            </w:r>
          </w:p>
        </w:tc>
        <w:tc>
          <w:tcPr>
            <w:tcW w:w="20" w:type="dxa"/>
            <w:vAlign w:val="bottom"/>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2008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565,000</w:t>
            </w:r>
          </w:p>
        </w:tc>
        <w:tc>
          <w:tcPr>
            <w:tcW w:w="2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2,560,000</w:t>
            </w:r>
          </w:p>
        </w:tc>
        <w:tc>
          <w:tcPr>
            <w:tcW w:w="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Restriction on Cash Balances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amounting to $686,684 that will mature on various dates in the next one year.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$304,814 that will mature between 2007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components of comprehensive income for the three and nine months ended September 30, 2006 and September 30, 2005.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$4,140,360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1,090,933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7,496,423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$3,771,707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gain/(loss) on effective cash flow hedges</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420,503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(236,928)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256,685</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Minimum pension liability</w:t>
            </w:r>
          </w:p>
        </w:tc>
        <w:tc>
          <w:tcPr>
            <w:tcW w:w="228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2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(156,360)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 (loss)</w:t>
            </w:r>
          </w:p>
        </w:tc>
        <w:tc>
          <w:tcPr>
            <w:tcW w:w="2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(227,364)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100,325</w:t>
            </w: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(117,537)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4,601,405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863,569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7,596,748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3,654,570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80" w:type="dxa"/>
            <w:vAlign w:val="bottom"/>
          </w:tcPr>
          <w:p>
            <w:pPr>
              <w:jc w:val="right"/>
              <w:ind w:right="1492"/>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9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520" w:type="dxa"/>
            <w:vAlign w:val="bottom"/>
          </w:tcPr>
          <w:p>
            <w:pPr>
              <w:spacing w:after="0"/>
              <w:rPr>
                <w:sz w:val="12"/>
                <w:szCs w:val="12"/>
                <w:color w:val="auto"/>
              </w:rPr>
            </w:pPr>
          </w:p>
        </w:tc>
        <w:tc>
          <w:tcPr>
            <w:tcW w:w="15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9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520" w:type="dxa"/>
            <w:vAlign w:val="bottom"/>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$ 17,548,642</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$ 13,310,963</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3-5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7,892,466</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4,966,353</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3,382,437</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Motor vehicles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912,732</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778,273</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630,951</w:t>
            </w:r>
          </w:p>
        </w:tc>
        <w:tc>
          <w:tcPr>
            <w:tcW w:w="5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6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30,367,228</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26,258,885</w:t>
            </w:r>
          </w:p>
        </w:tc>
        <w:tc>
          <w:tcPr>
            <w:tcW w:w="60" w:type="dxa"/>
            <w:vAlign w:val="bottom"/>
          </w:tcPr>
          <w:p>
            <w:pPr>
              <w:spacing w:after="0"/>
              <w:rPr>
                <w:sz w:val="19"/>
                <w:szCs w:val="19"/>
                <w:color w:val="auto"/>
              </w:rPr>
            </w:pPr>
          </w:p>
        </w:tc>
      </w:tr>
      <w:tr>
        <w:trPr>
          <w:trHeight w:val="21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(15,449,986)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(10,052,220)</w:t>
            </w:r>
          </w:p>
        </w:tc>
      </w:tr>
      <w:tr>
        <w:trPr>
          <w:trHeight w:val="222"/>
        </w:trPr>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$ 14,917,242</w:t>
            </w:r>
          </w:p>
        </w:tc>
        <w:tc>
          <w:tcPr>
            <w:tcW w:w="5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$ 16,206,665</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September 30, 2006 were $753,219 and $381,105, respectively, and at December 31, 2005 were $778,273 and $361,829, respectively.</w:t>
      </w:r>
    </w:p>
    <w:p>
      <w:pPr>
        <w:spacing w:after="0" w:line="14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life of 36 months was appropriate. As a result of this review and the success of the Company’s business model, the Company believes that it will remain in these facilities through at least further 60 months.</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 (2) the amortization expense to be recognized for periods starting April 1, 2005 of leasehold assets put into place prior to April 1, 2005 that were not fully amortized.</w:t>
      </w:r>
    </w:p>
    <w:p>
      <w:pPr>
        <w:spacing w:after="0" w:line="11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change in estimated useful life of leasehold improvements resulted in amortization expense being approximately $176,000 less in the three months ended September 30, 2006 and $528,000 in the nine months ended September 30, 2006 and approximately $176,000 and $352,000 less in the three and nine months ended September 30, 2005, than what it would have been had the estimated useful life not changed.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Long-Term Debt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Company redeemed promissory notes including accrued interest of $13,239 in 2004.</w:t>
      </w:r>
    </w:p>
    <w:p>
      <w:pPr>
        <w:spacing w:after="0" w:line="113"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effective interest rate at September 30, 2006 was 5.15% and at December 31, 2005 was 4.08%. Accrued interest at September 30, 2006 and December 31, 2005 included in senior long-term debt on the balance sheet is $869,709 and $ 650,335, respectively.</w:t>
      </w:r>
    </w:p>
    <w:p>
      <w:pPr>
        <w:spacing w:after="0" w:line="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each of the three and nine months ended September 30, 2006 and September 30, 2005, amortization of deferred financing costs amounted to $15,000 and $45,000, respectively. The Company repaid all outstanding promissory notes with a portion of the proceeds from its initial public offering. See Note 17.</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September 30, 2006 and December 31, 2005 amounted to $2,131,356 and $1,653,183, respectively.</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Thereafter, mandatory redemption events include (i) breach in any material respect of warranties and representations made by Conseco, Inc. (the Company’s former parent) under the stock purchase agreement dated November 14, 2002 and (ii) any material adverse change in the condition, financial or otherwise, business, properties, assets, consolidated statements of income or prospects of the Company or any of its subsidiaries. In all instances, the redemption events are conditional and the redemption amount will be the liquidation preference.</w:t>
      </w:r>
    </w:p>
    <w:p>
      <w:pPr>
        <w:spacing w:after="0" w:line="118"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On May 15, 2003, the FASB issued SFAS No. 150, “</w:t>
      </w:r>
      <w:r>
        <w:rPr>
          <w:rFonts w:ascii="Arial" w:cs="Arial" w:eastAsia="Arial" w:hAnsi="Arial"/>
          <w:sz w:val="15"/>
          <w:szCs w:val="15"/>
          <w:i w:val="1"/>
          <w:iCs w:val="1"/>
          <w:color w:val="auto"/>
        </w:rPr>
        <w:t>Accounting for Certain Financial Instruments with Characteristics of both Liabilities and Equities”</w:t>
      </w:r>
      <w:r>
        <w:rPr>
          <w:rFonts w:ascii="Arial" w:cs="Arial" w:eastAsia="Arial" w:hAnsi="Arial"/>
          <w:sz w:val="15"/>
          <w:szCs w:val="15"/>
          <w:color w:val="auto"/>
        </w:rPr>
        <w:t xml:space="preserve"> (“SFAS No. 150”). This standard requires, among other things, that any of various financial instruments that are issued in the form of shares that are mandatory redeemable on a fixed or determinable date be classified as liabilities, any dividends paid on the underlying shares be treated as interest expense, and issuance costs should be deferred and amortized using the interest method. SFAS No. 150 was effective for all financial instruments created or modified after May 31, 2003, and effective July 1, 2003 for the Company. As required by SFAS No. 150, accrued and unpaid dividends in fiscal years prior to adoption of SFAS No. 150 have not been reclassified to interest expense. Effective July 1, 2003, dividends on the redeemable preferred stock have been classified as interest expense. For the three months ended September 30, 2005, the Company recorded $75,920 as interest expense and $73,296 as dividend. For the nine months ended September 30, 2005, the Company recorded $359,197 as interest expense and $73,296 as dividend. As a result of the amended provisions, effective August 16, 2005, for the three months ended September 30, 2006, accrued dividends of $165,794 and for the nine months ended September 30, 2006, accrued dividends of $478,173 are no longer included in interest expense but are included in dividends and accretion on preferred stock in the consolidated statements of income.</w:t>
      </w:r>
    </w:p>
    <w:p>
      <w:pPr>
        <w:spacing w:after="0" w:line="10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preferred stock is recorded net of issuance costs of $300,000, which are accreted over a period of five years. For the three and nine months ended September 30, 2006 amortization of issuance costs of $15,000 and $45,000 respectively was included as dividends and accretion on preferred stock in the consolidated statements of income. For the three months ended September 30, 2005, amortization of issuance costs of $7,500 each was included in interest expense and dividend and accretion on preferred stock. For the nine months ended September 30, 2005 amortization of issuance cost of $7,500 was included as dividends and accretion on preferred stock and $37,500 was included in interest expense in the consolidated statements of income.</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redeemable preferred stock is carried at the amount of cash that would be paid under the respective agreement if the shares were repurchased or redeemed at the reporting date less unamortized issuance costs of $67,500 and $112,500 at September 30, 2006 and at December 31, 2005, respectively. The Company repurchased all of the outstanding preferred stock in October and November 2006 with a portion of the proceeds from its initial public offering. See Note 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9880" w:firstLine="8"/>
        <w:spacing w:after="0" w:line="391" w:lineRule="auto"/>
        <w:tabs>
          <w:tab w:leader="none" w:pos="17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consummation of the Company’s initial public offering, all outstanding shares of Series A and Series B common stock automatically converted into a single class of voting common stock on October 24, 2006. See Note 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period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Three months ended</w:t>
            </w:r>
          </w:p>
        </w:tc>
        <w:tc>
          <w:tcPr>
            <w:tcW w:w="180" w:type="dxa"/>
            <w:vAlign w:val="bottom"/>
          </w:tcPr>
          <w:p>
            <w:pPr>
              <w:spacing w:after="0"/>
              <w:rPr>
                <w:sz w:val="14"/>
                <w:szCs w:val="14"/>
                <w:color w:val="auto"/>
              </w:rPr>
            </w:pPr>
          </w:p>
        </w:tc>
        <w:tc>
          <w:tcPr>
            <w:tcW w:w="17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7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7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$69,261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$156,042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jc w:val="right"/>
              <w:spacing w:after="0"/>
              <w:rPr>
                <w:sz w:val="20"/>
                <w:szCs w:val="20"/>
                <w:color w:val="auto"/>
              </w:rPr>
            </w:pPr>
            <w:r>
              <w:rPr>
                <w:rFonts w:ascii="Arial" w:cs="Arial" w:eastAsia="Arial" w:hAnsi="Arial"/>
                <w:sz w:val="18"/>
                <w:szCs w:val="18"/>
                <w:color w:val="auto"/>
              </w:rPr>
              <w:t>8,206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5,042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23,458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gratuity cost</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81,650</w:t>
            </w: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70,577</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$ 211,730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735,888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Three months ended September 30, 2005</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593,917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2,019,750</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Nine months ended September 30, 2005</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1,555,246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motor vehicles from finance companies. Such leases are recorded as capital leases with interest rates ranging from 9.0% to 12.5%.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September 30, 2006 are as follows:</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September 30</w:t>
            </w:r>
          </w:p>
        </w:tc>
        <w:tc>
          <w:tcPr>
            <w:tcW w:w="3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$219,972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2009</w:t>
            </w:r>
          </w:p>
        </w:tc>
        <w:tc>
          <w:tcPr>
            <w:tcW w:w="30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0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1"/>
              </w:rPr>
              <w:t>Present value of minimum lease payments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Less current portion</w:t>
            </w:r>
          </w:p>
        </w:tc>
        <w:tc>
          <w:tcPr>
            <w:tcW w:w="30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20" w:type="dxa"/>
            <w:vAlign w:val="bottom"/>
            <w:vMerge w:val="restart"/>
          </w:tcPr>
          <w:p>
            <w:pPr>
              <w:jc w:val="right"/>
              <w:ind w:right="2572"/>
              <w:spacing w:after="0"/>
              <w:rPr>
                <w:sz w:val="20"/>
                <w:szCs w:val="20"/>
                <w:color w:val="auto"/>
              </w:rPr>
            </w:pPr>
            <w:r>
              <w:rPr>
                <w:rFonts w:ascii="Arial" w:cs="Arial" w:eastAsia="Arial" w:hAnsi="Arial"/>
                <w:sz w:val="18"/>
                <w:szCs w:val="18"/>
                <w:color w:val="auto"/>
              </w:rPr>
              <w:t>14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conducts its operations using facilities, office furniture and certain equipment leased under non-cancelable operating lease agreements that expire at various dates through the year 2009. Future minimum lease payments under non-cancelable agreements expiring after more than twelve months are as follows: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September 30</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2007</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$1,459,073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1,480,894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2009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3,228,282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Rent expense under operating leases was $881,271 and $600,273 for the three months ended September 30, 2006 and 2005, respectively. Rent expense under operating leases was $2,232,208 and $1,759,994 for the nine months ended September 30, 2006 and 2005,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recorded tax expense of $637,184 and $1,938,512 for the three and nine month periods ended September 30, 2006, respectively. However this was offset by deferred tax benefit primarily generated from recognizing deferred tax assets on deferred compensation and deferred revenue in the United States, and depreciation in foreign tax jurisdictions. This increase in deferred tax assets was partially offset by utilization of AMT credit carryforwards. This resulted in an overall tax expense/(benefit) of ($152,084) being recorded for the three months ended September 30, 2006 and $351,344 for the nine months ended September 30, 2006.</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September 30, 2006, the Company performed an analysis of the deferred tax asset valuation allowance for its Indian subsidiary. Based on the analysis, the Company has concluded that a valuation allowance offsetting the deferred tax assets continue to be recorded at September 30, 2006 based on the conclusion that it is more likely than not that there will not be sufficient future taxable income to realize the deferred tax assets related to the Indian subsidiary. The valuation allowance at September 30, 2006 is approximately $2,100,000.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fiscal 2003, the Company instituted the ExlService Holdings, Inc.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the 2003 Plan, the Company reserved 800,000 shares of Series B common stock (1,600,000 shares of common stock after giving effect to the Stock Split and Conversion in connection with the consummation of our initial public offering)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ungranted shares under the 2003 Plan was added to the pool of available shares under the 2006 Plan (as defined below).</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fiscal 2006, the Company instituted the ExlService Holdings, Inc. 2006 Omnibus Award Plan (the “2006 Plan”). The 2006 Plan covers all the employees of the Company and its subsidiaries. The Committee administers the 2006 Plan and grants stock options to eligible employees of the Company and its subsidiaries.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grant and is non-transferable during the life of the option. The options generally vest incrementally over a period of 4 years from the date of grant with 10% vesting in year 1, 20% vesting in year 2, 30% vesting in year 3 and 40% vesting in year 4. Pursuant to the 2006 Plan, the Company reserved 1,864,619 shares of Series B common stock (3,729,238 shares of common stock after giving effect to the Stock Split and Conversion in connection with the consummation of the Company’s initial public offering in October 2006) for the granting of options. If an employee is terminated they must exercise any vested options within 90 days after termination or the vested options are forfeited.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Effective January 1, 2006, 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No. 123(R)”) using the modified prospective method of transition. Under the provisions of SFAS No. 123(R), the estimated fair value of share based awards granted under stock incentive plans is recognized as compensation expense over the vesting period. Using the modified prospective method, compensation expense is recognized beginning with the effective date of adoption of SFAS No. 123(R) for all share based payments (i) granted after the effective date of adoption and (ii) granted prior to the effective date of adoption and that remain unvested on the date of adoption.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recorded approximately $879,362 and $1,280,113 of total stock based compensation expense for the three and nine month periods ended September 30, 2006, respectively, as required under SFAS No. 123(R).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January 1, 2006, the Company accounted for share based payments using the Accounting Principles Board Opinion No. 25 (“APB 25”) intrinsic value method and, as such, generally recognized compensation cost for employee stock options where the exercise price was less than the fair value on the date of grant.</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5"/>
              </w:rPr>
              <w:t>September 30, 2005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2005</w:t>
            </w:r>
          </w:p>
        </w:tc>
        <w:tc>
          <w:tcPr>
            <w:tcW w:w="60" w:type="dxa"/>
            <w:vAlign w:val="bottom"/>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1,090,933</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3,771,707</w:t>
            </w:r>
          </w:p>
        </w:tc>
        <w:tc>
          <w:tcPr>
            <w:tcW w:w="60" w:type="dxa"/>
            <w:vAlign w:val="bottom"/>
            <w:shd w:val="clear" w:color="auto" w:fill="CCEEFF"/>
          </w:tcPr>
          <w:p>
            <w:pPr>
              <w:spacing w:after="0"/>
              <w:rPr>
                <w:sz w:val="18"/>
                <w:szCs w:val="18"/>
                <w:color w:val="auto"/>
              </w:rPr>
            </w:pPr>
          </w:p>
        </w:tc>
      </w:tr>
      <w:tr>
        <w:trPr>
          <w:trHeight w:val="208"/>
        </w:trPr>
        <w:tc>
          <w:tcPr>
            <w:tcW w:w="5960" w:type="dxa"/>
            <w:vAlign w:val="bottom"/>
          </w:tcPr>
          <w:p>
            <w:pPr>
              <w:ind w:left="440"/>
              <w:spacing w:after="0"/>
              <w:rPr>
                <w:sz w:val="20"/>
                <w:szCs w:val="20"/>
                <w:color w:val="auto"/>
              </w:rPr>
            </w:pPr>
            <w:r>
              <w:rPr>
                <w:rFonts w:ascii="Arial" w:cs="Arial" w:eastAsia="Arial" w:hAnsi="Arial"/>
                <w:sz w:val="18"/>
                <w:szCs w:val="18"/>
                <w:color w:val="auto"/>
                <w:w w:val="95"/>
              </w:rPr>
              <w:t>Add: stock based employee compensation expense included in reported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96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30,360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50,504</w:t>
            </w:r>
          </w:p>
        </w:tc>
        <w:tc>
          <w:tcPr>
            <w:tcW w:w="60" w:type="dxa"/>
            <w:vAlign w:val="bottom"/>
          </w:tcPr>
          <w:p>
            <w:pPr>
              <w:spacing w:after="0"/>
              <w:rPr>
                <w:sz w:val="19"/>
                <w:szCs w:val="19"/>
                <w:color w:val="auto"/>
              </w:rPr>
            </w:pPr>
          </w:p>
        </w:tc>
      </w:tr>
      <w:tr>
        <w:trPr>
          <w:trHeight w:val="209"/>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Less: stock based employee compensation expense determined under the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fair value method</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(35,732)</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(327,120)</w:t>
            </w: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Pro forma net income (loss) to common</w:t>
            </w: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stockholders</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1,085,561</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3,495,091</w:t>
            </w:r>
          </w:p>
        </w:tc>
        <w:tc>
          <w:tcPr>
            <w:tcW w:w="6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ind w:left="880"/>
              <w:spacing w:after="0"/>
              <w:rPr>
                <w:sz w:val="20"/>
                <w:szCs w:val="20"/>
                <w:color w:val="auto"/>
              </w:rPr>
            </w:pPr>
            <w:r>
              <w:rPr>
                <w:rFonts w:ascii="Arial" w:cs="Arial" w:eastAsia="Arial" w:hAnsi="Arial"/>
                <w:sz w:val="18"/>
                <w:szCs w:val="18"/>
                <w:color w:val="auto"/>
              </w:rPr>
              <w:t>Basic, as reported</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 as reported</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ind w:left="880"/>
              <w:spacing w:after="0"/>
              <w:rPr>
                <w:sz w:val="20"/>
                <w:szCs w:val="20"/>
                <w:color w:val="auto"/>
              </w:rPr>
            </w:pPr>
            <w:r>
              <w:rPr>
                <w:rFonts w:ascii="Arial" w:cs="Arial" w:eastAsia="Arial" w:hAnsi="Arial"/>
                <w:sz w:val="18"/>
                <w:szCs w:val="18"/>
                <w:color w:val="auto"/>
              </w:rPr>
              <w:t>Basic, pro forma</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 pro forma</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the stock is estimated on the date of grant using third party valuations. The fair value of each option is estimated on the date of grant using the Black-Scholes option-pricing model with the following assumptions. In addition, a forfeiture rate of 25% has been used for most of the options based on a review of historical option activity.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weighted average assumption used to value the option grants for the three and nine months ended September 30, 2006 and September 30, 2005 are as follows :</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0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5"/>
              </w:rPr>
              <w:t>Three months ended</w:t>
            </w: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0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5"/>
              </w:rPr>
              <w:t>September 30,</w:t>
            </w:r>
          </w:p>
        </w:tc>
        <w:tc>
          <w:tcPr>
            <w:tcW w:w="1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22"/>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6.25</w:t>
            </w:r>
          </w:p>
        </w:tc>
        <w:tc>
          <w:tcPr>
            <w:tcW w:w="920" w:type="dxa"/>
            <w:vAlign w:val="bottom"/>
            <w:gridSpan w:val="4"/>
          </w:tcPr>
          <w:p>
            <w:pPr>
              <w:jc w:val="right"/>
              <w:ind w:right="372"/>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92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4.93%</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920" w:type="dxa"/>
            <w:vAlign w:val="bottom"/>
            <w:gridSpan w:val="4"/>
          </w:tcPr>
          <w:p>
            <w:pPr>
              <w:jc w:val="right"/>
              <w:ind w:right="212"/>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70"/>
        </w:trPr>
        <w:tc>
          <w:tcPr>
            <w:tcW w:w="6840" w:type="dxa"/>
            <w:vAlign w:val="bottom"/>
            <w:gridSpan w:val="3"/>
          </w:tcPr>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555,551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467,754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(52,644)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(212,894)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757,759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2006</w:t>
            </w: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59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141,676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grant at September 30, 2006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1,411,842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ind w:left="460"/>
              <w:spacing w:after="0"/>
              <w:rPr>
                <w:sz w:val="20"/>
                <w:szCs w:val="20"/>
                <w:color w:val="auto"/>
              </w:rPr>
            </w:pPr>
            <w:r>
              <w:rPr>
                <w:rFonts w:ascii="Arial" w:cs="Arial" w:eastAsia="Arial" w:hAnsi="Arial"/>
                <w:sz w:val="18"/>
                <w:szCs w:val="18"/>
                <w:color w:val="auto"/>
              </w:rPr>
              <w:t>Restricted stock activity under the Company’s stock plans is shown below:</w:t>
            </w: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restricted stock</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4"/>
              </w:rPr>
              <w:t>restricted stock</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units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7"/>
          </w:tcPr>
          <w:p>
            <w:pPr>
              <w:jc w:val="right"/>
              <w:ind w:right="40"/>
              <w:spacing w:after="0"/>
              <w:rPr>
                <w:sz w:val="20"/>
                <w:szCs w:val="20"/>
                <w:color w:val="auto"/>
              </w:rPr>
            </w:pPr>
            <w:r>
              <w:rPr>
                <w:rFonts w:ascii="Arial" w:cs="Arial" w:eastAsia="Arial" w:hAnsi="Arial"/>
                <w:sz w:val="18"/>
                <w:szCs w:val="18"/>
                <w:color w:val="auto"/>
              </w:rPr>
              <w:t>144,502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144,502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granted 153,502 shares of restricted stock and restricted stock units during the three months ended September 30, 2006. The weighted-average fair value of options, restricted stock and restricted stock units issued under the 2003 Plan and 2006 Plan during nine months ended September 2006 and 2005 was $8.81 and $6.58, respectively, and during the three months ended September 2006 and 2005 was $8.79 and $5.93, respectively. The weighted-average remaining contractual life of options, restricted stock and restricted stock units outstanding and exercisable at September 30, 2006 and September 30, 2005 was 7.93 years and 8.70 years, respectively.</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the options issued till date. Stock options that are anti-dilutive are excluded from the computation of weighted average shares outstanding. For the three months ended September 30, 2006 and 2005, the weighted average number of shares used in calculating diluted earnings per share includes stock options of 441,712 shares and 361,848 shares, respectively. For the nine months ended September 30, 2006 and 2005, the weighted average number of shares used in calculating diluted earnings per share includes stock options of 414,208 shares and 394,102 shares, respectively. The calculation of earnings per share for the three months and nine months ended September 30, 2006 and 2005 excludes stock options of 592,900 shares and 383,000 shares, respectively, because the exercise price of the option is less than the average price of stock and hence to include them in the calculation would be anti-dilutive. The earnings per share data have been adjusted to give effect to the Stock Split and Conversion. See Note 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2002, in connection with employment agreements, certain officers purchased 2,993 shares of preferred stock for $3. The difference between the fair value of these shares and the purchase price, totaling $299,299, was being amortized to compensation expense over the three-year vesting period. For the nine months ended September 30, 2005, the Company amortized and recorded compensation expense of $74,754.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2005, the Company granted to a member of its advisory board options to purchase 5,000 shares of Series B common stock at an exercise price of $23.75 per share under the 2003 Plan. Using the Black-Scholes valuation model, the fair value of these options at September 30, 2006 was determined to be $43,750. In 2003, the Company also granted to members of its advisory board options to purchase 10,000 shares of Series B common stock at an exercise price of $0.24 per share under the 2003 Plan. Using the Black-Scholes valuation model, the fair value of these options at September 30, 2006 was determined to be $195,100. These options vest over a period of four years and expire ten years from the vesting date. For the three months ended September 30, 2006, the Company recorded an expense of $32,438 and for the three months ended September 30, 2005, an expense of $14,753 towards compensation expense. For the nine months ended September 30, 2006, the Company recorded an expense of $21,200 of compensation expense. For nine months ended September 30, 2005, the Company recorded $44,258 as compensation expense. The fair value and related compensation expense will be remeasured for the unvested portion of these options at the end of each reporting period until such options are fully vested. The Company remeasured the fair value of the unvested portion at the end of September 30, 2006 and accordingly passed a credit to the compensation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 Amortization for the three months ended September 30, 2006 and 2005 was approximately $89,604 respectively. Amortization for the nine months ended September 30, 2006 and 2005 was approximately $268,812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The Company received services in India for employee training performed by a company controlled by a stockholder. This company is one of the many companies rendering such services to Exl India. The Company recorded expenses related to these services of $27,269 and $5,916 for the three months ended September 30, 2006 and September 30, 2005, respectively. For the nine months ended September 30, 2006 and September 30, 2005, the Company recorded $53,194 and $44,823, respectively. At September 30, 2006 the Company had a balance payable of $764 related to these services. The agreement with this company terminated on September 30, 2006.</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the Company’s significant stockholders. The Company recognized approximately $248,696 and $4,250 in the three months ending September 30, 2006 and 2005, respectively, and $494,106 and $270,238 in the first nine months of 2006 and 2005, respectively, in advisory fees revenue and expense reimbursements from Williams Scotsman, Inc.</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provides BPO services to MedSynergies, Inc., a provider of outsourced billing, claims administration and payment processing services to healthcare providers. MedSynergies, Inc. is controlled by entities related to one of the Company’s significant stockholders. The Company recognized revenue of approximately $186,525 in the three months ending September 30, 2006 and approximately $ 342,860 in the nine months ended September 30, 2006 from MedSynergies, Inc.</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provides advisory services to Duane Reade Holdings, Inc., a New York City drugstore chain. Duane Reade Holdings, Inc. is indirectly owned by one of the Company’s significant stockholders. The Company recognized revenue of approximately $143,420 and $81,610 in the three months ending September 30, 2006 and 2005, respectively, and $422,320 and $89,490 in the first nine months of 2006 and 2005, respectively, in advisory fees and expense reimbursements from Duane Reade Holdings, Inc.</w:t>
      </w:r>
    </w:p>
    <w:p>
      <w:pPr>
        <w:spacing w:after="0" w:line="14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Company provides analytical services to FTVentures, one of the Company’s significant stockholders. The Company recognized revenue of approximately $4,900 in the three months ending September 30, 2006, and $4,900 in the first nine months of 2006,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2006 the Company had an account receivable of $300,835 related to these services.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entered into employment and non-competition agreements with management in November 2002. The initial term of these agreements was three years and the Company had the option to extend the term for two additional one-year periods. The agreements had been extended through September 30, 2006 and included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 These agreements were amended and restated in their entirety effective September 30, 2006. The amended and restated employment agreements last until December 31, 2009 and will automatically extend for successive 12-month periods unless either party provides the other with 120 days’ notice of its desire not to extend the agreement. Each agreement provides for an annual base salary of $400,000, a bonus amount and certain other fringe benefits.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was amortized over a three-year period consistent with the preferred stock issued to such officers. This was fully amortized by December 2005. The Company recorded compensation expense of $27,165 and $81,495 during the three months and nine months ended September 30, 2005, respectively.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each of the three months ended September 30, 2006 and 2005, the Company accrued management fees of $50,000 to certain investors. For each of the nine months ended September 30, 2006 and 2005, the Company accrued management fees of $150,000 to certain investors.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gridSpan w:val="7"/>
          </w:tcPr>
          <w:p>
            <w:pPr>
              <w:jc w:val="center"/>
              <w:ind w:left="218"/>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5"/>
          </w:tcPr>
          <w:p>
            <w:pPr>
              <w:jc w:val="right"/>
              <w:ind w:right="476"/>
              <w:spacing w:after="0"/>
              <w:rPr>
                <w:sz w:val="20"/>
                <w:szCs w:val="20"/>
                <w:color w:val="auto"/>
              </w:rPr>
            </w:pPr>
            <w:r>
              <w:rPr>
                <w:rFonts w:ascii="Arial" w:cs="Arial" w:eastAsia="Arial" w:hAnsi="Arial"/>
                <w:sz w:val="14"/>
                <w:szCs w:val="14"/>
                <w:b w:val="1"/>
                <w:bCs w:val="1"/>
                <w:color w:val="auto"/>
                <w:w w:val="95"/>
              </w:rPr>
              <w:t>Nine months ended</w:t>
            </w:r>
          </w:p>
        </w:tc>
      </w:tr>
      <w:tr>
        <w:trPr>
          <w:trHeight w:val="161"/>
        </w:trPr>
        <w:tc>
          <w:tcPr>
            <w:tcW w:w="18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80" w:type="dxa"/>
            <w:vAlign w:val="bottom"/>
            <w:tcBorders>
              <w:bottom w:val="single" w:sz="8" w:color="auto"/>
            </w:tcBorders>
            <w:gridSpan w:val="7"/>
          </w:tcPr>
          <w:p>
            <w:pPr>
              <w:jc w:val="center"/>
              <w:ind w:left="218"/>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1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8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66"/>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$ 19,149,844</w:t>
            </w:r>
          </w:p>
        </w:tc>
        <w:tc>
          <w:tcPr>
            <w:tcW w:w="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9,069,149</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$ 39,910,017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25,945,326</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16,204,839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9,299,831</w:t>
            </w: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42,228,908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28,022,347</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Rest of World (excluding India)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310,362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314,362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92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8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$ 35,665,045</w:t>
            </w:r>
          </w:p>
        </w:tc>
        <w:tc>
          <w:tcPr>
            <w:tcW w:w="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w w:val="90"/>
              </w:rPr>
              <w:t>18,368,980</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$ 82,453,287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53,974,673</w:t>
            </w:r>
          </w:p>
        </w:tc>
      </w:tr>
      <w:tr>
        <w:trPr>
          <w:trHeight w:val="20"/>
        </w:trPr>
        <w:tc>
          <w:tcPr>
            <w:tcW w:w="1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33"/>
        </w:trPr>
        <w:tc>
          <w:tcPr>
            <w:tcW w:w="18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24"/>
                <w:szCs w:val="24"/>
                <w:color w:val="auto"/>
              </w:rPr>
            </w:pPr>
          </w:p>
        </w:tc>
        <w:tc>
          <w:tcPr>
            <w:tcW w:w="1600" w:type="dxa"/>
            <w:vAlign w:val="bottom"/>
            <w:gridSpan w:val="6"/>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1"/>
        </w:trPr>
        <w:tc>
          <w:tcPr>
            <w:tcW w:w="18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0"/>
        </w:trPr>
        <w:tc>
          <w:tcPr>
            <w:tcW w:w="18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United States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1,653,612</w:t>
            </w:r>
          </w:p>
        </w:tc>
        <w:tc>
          <w:tcPr>
            <w:tcW w:w="14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779,961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13,258,910</w:t>
            </w: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15,425,040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United Kingdom</w:t>
            </w:r>
          </w:p>
        </w:tc>
        <w:tc>
          <w:tcPr>
            <w:tcW w:w="8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4,720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7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14,917,242</w:t>
            </w: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16,206,665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640" w:firstLine="8"/>
        <w:spacing w:after="0" w:line="417" w:lineRule="auto"/>
        <w:tabs>
          <w:tab w:leader="none" w:pos="263"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September 30, 2006, the Company had committed to spend approximately $38,651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(the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$244.5 million and $43.4 million, respectively, over a period of five years.</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the event of Exl India and NCOP are unable to achieve their commitments over the specified period, Exl India and NCOP may be required to refund such incentives along with penalties and fines. Management, however, believes that Exl India and NCOP will achieve these export levels within the required timeframe.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Transactions among the Company’s subsidiaries and the Company may be considered such transactions. Accordingly, the Company determines the pricing among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its associated enterprises on the basis of detailed functional and economic analysis involving benchmarking against transactions among entities that are not under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control. If the applicable income tax authorities review any of the Company’s tax returns and determine that the transfer price applied was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the Company may incur increased tax liability, including accrued interest and penalties. The Company is currently involved in disputes with Indian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authorities over the application of some of its transfer pricing policies. The Company has received two assessment orders from the Indian tax authorities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their audit of certain of the Company’s subsidiaries. The first assessment demands that Exl India pay additional taxes in the amount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 million. The Company has been required to pay approximately $700,000 by the Indian tax authorities as a deposit in respect of the first assessment while it 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contesting the above order before the authorities. The Company has already deposited approximately $436,000 and the balance may have to be deposited in case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Company does not have a decision in its favor from the first appellate authority before December 31, 2006. The second assessment demands the payment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Exl Inc. of approximately $3.2 million. Out of $3.2 million the Company has been asked to pay approximately $775,000 by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November 2006 and approximately $775,000 by January 2007. The Company has appealed both assessments. Based on advice from its Indian tax advisors, the facts underlying its position and its experience with these types of assessments, the Company believes that the probability of loss is remote and has accordingly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There is a possibility that the Company might receive similar orders for subsequent years until the common dispute is resolved.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October 25, 2006, the Company consummated an initial public offering of its shares of common stock. In the offering, the Company issued and sold 5,750,000 shares of its common stock at an initial offering price of $13.50 per share resulting in gross proceeds of $77.6 million and net proceeds of approximately $69.7 million to the Company after deducting underwriting discounts and commissions of approximately $5.4 million and related offering expenses of approximately $2.5 million. The Company used approximately $6.7 million of the net proceeds from the initial public offering to repurchase all of its outstanding shares of Series A Preferred Stock and approximately $5.8 million to repay all outstanding senior promissory notes payable to certain of its stockholders. In connection with the initial public offering all outstanding shares of Series B common stock of the Company converted automatically into shares of Series A common stock (the “Conversion”) on October 24, 2006. In addition, immediately prior to the consummation of the offering, the Company increased its total authorized number of shares of capital stock and effected a two-for-one stock split (the “Stock Split”). As a result of the initial public offering, the Company only has one class of common stock outstanding.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Registration Statement on Form S-1 (Registration No. 333-121001). Some of the statements in the following discussion are forward looking statements. See “—Forward 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 recognized provider of offshore solutions, including business process outsourcing (“BPO”), research and analytics and advisory services, primarily serving the needs of Global 1000 companies in the banking, financial services and insurance (“BFSI”) sector. We provide integrated front-, middle- and back-office process outsourcing services and manage large-scale processes for our U.S.-based and U.K.-based clients. We also offer various research and analytics services and advisory services to our clients.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market our services directly through our sales and marketing team, which operates out of New York and London, and our business development team, which operates out of Noida, India. We currently operate seven operations facilities in India, including one operation facility at Inductis.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completed the acquisition of Inductis, a provider of research and analytics services, on July 1, 2006 (the “Inductis Acquisition”). The Inductis Acquisition has expanded the types and sophistication of the research and analytics services we offer. The results of operations of Inductis are consolidated in our financial statements with effect from July 1, 2006. As a result, our results of operations for the three and nine month-periods ended September 30, 2006 are not comparable to our results of operations for the three and nine month-periods ended September 30, 2005. See “—Inductis Acquisition” below.</w:t>
      </w:r>
    </w:p>
    <w:p>
      <w:pPr>
        <w:spacing w:after="0" w:line="113"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On October 25, 2006, we consummated an initial public offering of our shares of common stock. Our initial public offering resulted in net proceeds of approximately $69.7 million to us after deducting underwriting discounts and commissions and related expenses. Our common stock is traded on the Nasdaq Global Select Market under the symbol “EXLS.” In connection with the initial public offering, we effected the Conversion and the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generate revenues principally from contracts to provide BPO, research and analytics or advisory services. In the first nine months of 2006, we had revenues of $82.5 million compared to $54.0 million for the same period in 2005, an increase of 52.8%. For the three months ended September 30, 2006 and 2005, we had revenues of $35.7 million and $18.4 million, respectively, an increase of 94.0%. A significant portion of our increase in revenues for the three and nine month-periods ended September 30, 2006 over the same periods in 2005 is a result of the Inductis Acquisition which contributed $6.3 million to our consolidated revenues for the three months ended September 30, 2006. We generally attribute our revenue growth to a number of factors, including the growth of our client base, both organically and through acquisitions such as the Inductis Acquisition, ongoing growth in existing client relationships and the addition of new services, including compliance and research and analytics services. We measure our revenues from new clients as revenues attributable to new clients added and not as an increase in revenues from existing clients. We anticipate continued revenue growth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2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recent acquisition of Inductis in July 2006. Our advisory services include risk assessment, documentation and internal controls testing and business process re-engineering and process quality monitoring. Our research and analytics services and our advisory services are cyclical and can be significantly affected by variations in business cycles. Changes in the regulatory requirements for of the Sarbanes-Oxley Act of 2002, for example, could have a significant impact on certain risk advisory service offerings of our advisory services business.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 Our results of operations for the three months ended September 30, 2006 were impacted by a significant increase in revenue from our advisory services. The increase is partially caused by seasonal factors and does not represent a trend in our period- to- period increases.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48.4% and 51.2%, respectively, of the revenues for the nine months ended September 30, 2006 and approximately 53.7% and 45.4%, respectively, of the revenues for the three months ended September 30, 2006. The United States and the United Kingdom generated approximately 48.1% and 51.9%, respectively, of the revenues for the nine months ended September 30, 2005 and approximately 49.37% and 50.63%, respectively, of the revenues for the three months ended September 30, 2005.</w:t>
      </w:r>
    </w:p>
    <w:p>
      <w:pPr>
        <w:spacing w:after="0" w:line="11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provide services to Norwich Union (an Aviva company), which represented $10.5 million, or 29.4%, of our revenues in the three months ended September 30, 2006 and $9.1 million, or 49.5%, of our revenues for the three months ended September 30, 2005, under two framework agreements and work orders generated by these agreements. The first framework agreement expires in January 2007 and can be terminated by Norwich Union for cause only during its initial term, but work orders under that agreement cannot be terminated without cause before July 1, 2007. The second framework agreement expires in July 2009 and can be terminated by Norwich Union without cause upon six months prior notice and payment to us of a break-up fee during its initial term. After these initial terms, Norwich Union may terminate these agreements without cause or penalty with six months notice. We provide services to Centrica plc, which represented $5.8 million, or 16.2%, of our revenues for the three months ended September 30, 2006 and $0.2 million, or 1.1% of our revenues for the three months ended September 30, 2005, under an agreement that has an initial term that expires in July 2008 and that can be terminated by Centrica plc for cause only during its initial term. Our contract with our third-largest client, American Express Financial Corporation (“American Express”), which represented $4.1 million, or 11.5%, of our revenues in the three months ended September 30, 2006 provides that American Express may terminate the agreement at any time and without cause with five days prior notice. We provide services to Dell (including Dell Financial Services), which represented $3.0 million, or 8.4%, of our revenues in the three months ended September 30, 2006 and $2.5 million, or 13.6%, of our revenues for the three months ended September 30, 2005, under three main agreements. The first agreement expires on November 1, 2007,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The third agreement expires May 15, 2009, is automatically renewed for additional one year terms and can be terminated by our client at any time and without cause with 180 days prior notice. Contracts with other BPO clients representing approximately 27.4% of our revenues for the three months ended September 30, 2006 will expire within 12 months, while the remainder of our BPO contracts expire in more than one year or do not have specified initial terms and remain in effect until terminated or until there are no work orders or engagement schedules.</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three months ended September 30, 2006 and September 30, 2005, 4% and 3.7%, respectively, of our revenues represent reimbursement of such expenses. For the nine months ended September 30, 2006 and September 30, 2005, 4.1% and 4.2%, respectively, of our revenues represent reimbursement of such expenses.</w:t>
      </w:r>
    </w:p>
    <w:p>
      <w:pPr>
        <w:spacing w:after="0" w:line="6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operating results may vary significantly from period to period as a result of various factors. For example, Dell, one of our largest clients, experiences seasonal changes in its operations in connection with the year-end holiday season and the school year, which affects our period-to-period results.</w:t>
      </w:r>
    </w:p>
    <w:p>
      <w:pPr>
        <w:spacing w:after="0" w:line="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pound sterling and the U.S. dollar or if our hedging strategy is unsuccessful.</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September 30, 2006 and 2005, the revenues from our three largest clients grew to $20.3 million and $13.8 million, respectively, accounting for 57.2% and 74.9%% of our revenues, respectively, during these periods.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derived revenues from four and nine new clients for our services, including advisory and research and analytics services, in the three months ended September 30, 2006 and 2005, respectively. By acquiring Inductis, we obtained 16 new clients, including American Express, our third largest client.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Norwich Union has the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publicly announced its intention to start exercising its option to assume the operations of the facilities of certain of its third party vendor-contractors, including one of our facilities in Pune. The affected facility generated 16.3% and 26.5% of our revenues in the three months ended September 30, 2006 and September 30, 2005, respectively. We expect that any decline in revenues that we would experience when Norwich Union exercises this option would be partially offset by a decrease in expenses associated with the operation of the Pune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stock options to employees directly involved in providing services to our clients.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significant portion of our increase in cost of revenues for the three and nine month-periods ended September 30, 2006 over the same periods in 2005 is a result of the Inductis Acquisition which contributed $4.0 million to our consolidated cost revenues 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three months and nine months ended September 30, 2006. We expect our cost of revenues to continue to increase as we continue to add professionals in India and the United States, including new senior managers, to service additional business, in particular as our research and analytics and advisory services businesses grow, both organically and as a result of acquisitions like the Inductis Acquisition, and as wages continue to increase in India. In particular, we expect training activity costs to continue to increase as we continue to add new clients.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expect cost of revenues to increase when we add new operations facilities due to increases in telecommunication and rent expenses and other facilities operating costs. In particular, we are in the process of establishing a new operations facility in Noida, India, which we expect will become operational in 2007 and are contractually committed to one of our clients to establish and maintain a viable BPO offshore operation outside of India by March 2007.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client relationship management, travel and brand building. We expect SG&amp;A expenses to continue to increase in absolute dollars to support our planned growth, including organically and through acquisitions such as the Inductis Acquisition. We also expect our accounting, insurance and legal fees to increase as a result of being a public company. SG&amp;A expenses also include non-cash amortization of stock compensation expense related to our issuance of stock options and restricted stock to senior management, members of our board of directors and advisory board, other support personnel and consultants.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Depreciation and amortization pertains to depreciation and amortization of our tangible and intangible assets, including network equipment, cabling, computers, office furniture and equipment, motor vehicles and leasehold improvements. Amortization of intangible assets acquired in the Inductis Acquisition is part of depreciation and amortization. Amortization of deferred stock compensation expenses is not included in depreciation and amortization, but is included as an element of compensation expenses as described above. As we add facilities, we expect that depreciation expense will increase, reflecting additional investments in equipment such as desktop computers, servers and other infrastructure.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Although substantially all of our revenues are primarily denominated in U.S. dollars (53.7% in the three months ended September 30, 2006 and 48.4% for the nine months ended September 30, 2006) or pound sterling (45.4% in the three months ended September 30, 2006 and 51.2% for the nine months ended September 30, 2006), most of our expenses (62.6% in the three months ended September 30, 2006 and 71.3% for the nine months ended September 30, 2006) are incurred and paid in Indian rupees. The exchange rates among the Indian rupee, the pound sterling and the U.S. dollar have changed substantially in recent years and may fluctuate substantially in the future. The results of our operations are affected as the Indian rupee appreciates or depreciates against the U.S. dollar or the pound sterling.</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we report our financial results in U.S. dollars and a substantial portion of our revenues is earned in pound sterling. Accordingly, our results of operations are adversely affected as the pound sterling depreciates against the U.S. dollar. The exchange rate for the three months ended September 30, 2006 was favorable to us over the exchange rate for the three months ended September 30, 2005. See “Item 3—Quantitative and Qualitative Disclosures About Market Risk.”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our subsidiaries Exl India and Inductis India Private Limited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until March 31, 2009.</w:t>
      </w:r>
    </w:p>
    <w:p>
      <w:pPr>
        <w:spacing w:after="0" w:line="118"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As a result of the tax holiday, our BPO service operations have been subject to relatively lower tax liabilities. For example, we recognized minimal income tax expense for the three months ended September 30, 2006 as a result of the tax holiday, compared to approximately $1.6 million that we would have incurred if the tax holiday had not been available for that period (without accounting for double taxation treaty set-offs). When our tax holiday expires or terminates, our tax expense will materially increase. While we have incurred losses in the prior periods under applicable Indian tax laws, we have decided not to carry forward these losses.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 We are currently involved in disputes with Indian tax authorities over the application of some of our transfer pricing policies. We have received two assessment orders from the Indian tax authorities with respect to their audit of certain of our subsidiaries. The first assessment demands that Exl India pay additional taxes in the amount of approximately $2.1 million. We have been required to pay approximately $700,000 by the Indian tax authorities as a deposit in respect of the first assessment while we are contesting the above order before the authorities. We have already deposited approximately $436,000 and the balance may have to be deposited in case we do not have a decision in our favor from the first appellate authority before December 31, 2006. The second assessment demands the payment by Exl Inc. of approximately $3.2 million. Out of $3.2 million we have been asked to pay approximately $775,000 by November 2006 and approximately $775,000 by January 2007. We have appealed both assessments. Based on advice from our Indian tax advisors, the facts underlying our position and our experience with these types of assessments, we believe that the probability of loss is remote and have accordingly not accrued any amount with respect to these matters in our consolidated financial statements. We do not expect any impact from these assessments on our future income tax expense. However, there is a possibility that the Company may receive similar orders for payment for subsequent years until the underlying dispute is resolved. ExlService Holdings is subject to U.S. income taxes on the profits it recognizes in the United States.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Inductis Acquisition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The total consideration for the Inductis Acquisition, including the assumption of liabilities, earnout and contingent payments and transaction costs, is expected to be approximately $31.5 million. We paid approximately $11.5 million at the closing of the Inductis Acquisition in the form of $2.4 million in cash, the issuance of 524,981 shares of our Series A common stock (1,049,962 shares of our common stock after giving effect to the Stock Split and Conversion) after withholding in respect of taxes, $0.9 million in transaction costs, a $0.4 million bonus payable in January 2007 and a $0.6 million working capital adjustment payment based on the net working capital of Inductis and its subsidiaries as of June 30, 2006. We also assumed $4.3 million of Inductis debt, which we repaid in full on September 26, 2006. We also agreed to make certain earnout payments to the former holders of Inductis securities of up to 389,906 shares of Series A common stock (779,812 shares of our common stock after giving effect to the Stock Split and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Inductis Acquisition, our historical results of operations will not be comparable to our results of operations in future periods.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September 30, 2006. To the extent we are able to prevail in matters for which accruals have been established or are required to pay amounts in excess of our reserves, our effective tax rate in a given financial statement period may be materially impacted.</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Applicable transfer 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We are currently involved in disputes with Indian tax authorities over the application of some of our transfer pricing policies.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determine if a valuation allowance is required or not on the basis of an assessment of whether it is more likely than not that a deferred tax asset will be realized. At September 30, 2006, we performed an analysis of the deferred tax asset valuation allowance on our Indian subsidiaries and concluded that a valuation allowance offsetting the deferred tax assets be recorded, based on our conclusion that it is more likely than not that there will be future taxable income to realize the deferred tax assets. We perform this assessment at the end of each period. See Note 12, “Income Taxes,” in the notes to our unaudited consolidated financial statements for the period ended September 30,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Prior to January 1, 2006, we accounted for stock-based payments using APB 25. Under APB 25, compensation expense was generally not recognized when both the exercise price is the same as the market price and the number of shares to be issued is set on the date the employee stock option is granted. We chose to use the intrinsic value method to measure our compensation costs. If we had used the fair value method, we would have recognized additional compensation expense of nil and approximately $0.3 million for the three and nine months ended September 30, 2005, respectively. See Note 2, “Summary of Significant Accounting Policies,” in the notes to our consolidated financial statements for the period ended September 30, 2006. See Note 13, “Stock Based Compensation,” in the notes to our unaudited consolidated financial statements for the period ended September 30, 2006 for significant factors considered in determining the fair value of our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At September 30, 2006, forward exchange contracts of $35.5 million and GBP 13.0 million were outstanding. We have evaluated the effectiveness of all forward exchange contracts. For the three and nine months ended September 30, 2006, net gains (loss) from ineffective cash flow hedges included in the consolidated statements of income totaled approximately ($0.3 million) and ($1.3 million). For hedge relationships discontinued because the forecasted transaction is not expected to occur by the end of the originally specified period, any related derivative amounts recorded in equity are reclassified to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 See Note 10, “Employee Benefit Plans,” in the notes to our unaudited consolidated financial statements for the period ended September 30,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35,081,504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18,283,120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81,189,101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53,614,945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Revenues (from related party)</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583,541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85,860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1,264,186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35,665,045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18,368,980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82,453,287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53,974,673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21,490,479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11,440,529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51,378,118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35,104,597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14,174,566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6,928,451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31,075,169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18,870,076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gridSpan w:val="3"/>
          </w:tcPr>
          <w:p>
            <w:pPr>
              <w:ind w:left="460"/>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5,802,239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3,665,076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13,110,619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9,706,772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1,635,644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419,924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3,083,744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1,213,363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2,614,929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1,497,937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6,254,903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4,477,588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10,052,812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5,582,937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22,449,266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15,397,723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4,121,754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1,345,514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8,625,903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3,472,353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60" w:type="dxa"/>
            <w:vAlign w:val="bottom"/>
            <w:gridSpan w:val="3"/>
          </w:tcPr>
          <w:p>
            <w:pPr>
              <w:ind w:left="460"/>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(688,213)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1,522,203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310,945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258,306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912,327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(275,310)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(93,810)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(479,077)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(283,698)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Interest expense-redeemable preferred stock</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(83,420)</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(396,697)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4,169,070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1,868,103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8,370,940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(152,084)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696,374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351,344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4,321,154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1,171,729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8,019,596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3,852,503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(180,794)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(80,796)</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(523,173)</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4,140,360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1,090,933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7,496,423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0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of revenues includes $0.2 million amortization of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SG&amp;A expenses include $0.6 million amortization of stock compensation expense relating to our issuance of stock options to our non-operations staff.</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includes $0.6 million of amortization of intangibles.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2006 Compared to Three Months Ended September 30, 2005</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result of the Inductis Acquisition, our results of operations for the three months ended September 30, 2006 are not comparable to the three months ended September 30, 2005. Our results of operations for the three months ended September 30, 2006 are favorably impacted by an increase in revenues, changes in exchange rates and a better capacity utilization over the three months ended September 30, 2005.</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increased 94.0% from $18.4 million for the three months ended September 30, 2005 (including $0.7 million of reimbursable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to $35.7 million for the three months ended September 30, 2006 (including $1.4 million of reimbursable expenses). We recognized revenues from 55 clients (including 16 clients acquired in the Inductis Acquisition), including clients for our research and analytics services and our advisory services, during the three months ended September 30, 2006 compared to 29 clients during the three months ended September 30, 2005. Revenues attributable to 15 new clients added since September 30, 2005 (excluding revenue increases attributable to existing clients and revenue increases on account of the Inductis Acquisition) were $1.2 million for the three months ended September 30, 2006. Revenues attributable to clients obtained as a result of the Inductis Acquisition were $6.3 million during the three months ended September 30, 2006.</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88.6% from $11.4 million for the three months ended September 30, 2005 to $21.5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2006. Cost of revenues increased due to the inclusion of $4.0 million in cost of revenues of the Inductis business. Salaries and personnel expenses increased from $7.3 million in the three months ended September 30, 2005 to $14.6 million in the three months ended September 30, 2006 as a result of an increase in headcount from 4,742 employees at September 30, 2005 to 7,910 employees (including 257 employees from Inductis) at September 30, 2006. Cost of revenues also increased due to an increase in reimbursable expenses, primarily as a result of significant additional costs associated with training activities on client premises. Facilities operating costs increased from $1.5 million for the three months ended September 30, 2005 to $2.3 million for the three months ended September 30, 2006, primarily reflecting our increased workforce, increased capacity utilization and the commencement of operations in February 2006 of a new 1,000-seat center in Noida. Cost of revenue includes $0.2 million and nil for the three months ended September 30, 2006 and September 30, 2005, respectively, on account of amortization of stock compensation expense relating to our issuance of stock options to employees directly involved in providing services to our clients. As a percentage of revenues, cost of revenues decreased from 61.9% for the three months ended September 30, 2005 to 60.2% for the three months ended September 30, 2006.</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105.8% from $6.9 million for the three months ended September 30, 2005 to $14.2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2006. Inductis contributed $2.3 million gross profit for the three months ended September 30, 2006. The significant increase in gross profit does not represent a trend in our results of operations. As a percentage of revenues, gross profit increased from 37.7% for the three months ended September 30, 2005 to 39.7% for the three months ended September 30, 2006.</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expenses increased 80.5% from $4.1 million for the three months ended September 30, 2005 to $7.4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2006. General and administrative expenses increased 56.8% from $3.7 million for the three months ended September 30, 2005 to $5.8 for the three months ended September 30, 2006 and selling and marketing expenses increased 300% from $0.4 million for the three months ended September 30, 2005 to $1.6 million for the three months ended September 30, 2006. These increases were primarily due to the addition of headquarters and sales and marketing staff in the United States, as well as an increase in audit and other professional fees incurred as a result of becoming a public company. The increase in SG&amp;A is also attributed to the addition of $2.0 million in expenses incurred by Inductis. Salary and personnel expenses increased from $1.9 million for the three months ended September 30, 2005 to $4.1 million for the three months ended September 30, 2006. Salaries and personnel expense included $0.6 million in expenses as a result of the Inductis Acquisition. SG&amp;A expenses include $0.6 million and nil for the three months ended September 30, 2006 and the three months ended September 30, 2005, respectively, on account of amortization of stock compensation expense relating to our issuance of stock options to our non-operations staff. As a percentage of revenues, SG&amp;A expenses decreased from 22.2% for the three months ended September 30, 2005 to 20.7% for the three months ended September 30, 2006.</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73.3% from $1.5 million for the three months ended September 30, 2005 to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2006. The increase was primarily due to a $0.6 million amortization of intangibles acquired from Inductis. The increase was also due to the commencement of operations in February 2006 of the additional center referred to above. As we add facilities, we also expect that depreciation expense will increase, reflecting additional investment in equipment and facilities necessary to meet service requirements.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operations increased 215.3% from $1.3 million for the three months ended September 30, 2005 to $4.1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2006. Operating margin increased period-to-period due to a significant increase in revenue from our advisory services partly caused by seasonal factors, a higher than expected increase in revenue growth, the inclusion of Inductis in our revenues, favorable exchange rates ,better capacity utilization rate, and a savings in employee costs due to delayed hiring of professionals in support function in the 2006 period over the 2005 period. The significant increase in income from operations does not represent a trend in our results of operations. As a percentage of revenues, income from operations increased from 7.1% for the three months ended September 30, 2005 to 11.6% for the three months ended September 30, 2006.</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Other Income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(expense) decreased from income of $0.5 million for the three months ended September 30, 2005 to an income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nil for the three months ended September 30, 2006 as a result of foreign exchange losses. Other income is comprised of foreign exchange gains and losses, interest income and expense and interest expense on redeemable preferred stock. Foreign exchange showed a gain of $0.4 million for the three months ended September 30, 2005 compared to approximately nil for the three months ended September 30, 2006. Interest and other income and interest expense for the two periods reflected the reclassification of our preferred stock from debt to equity on August 16, 2005 as a result of our adopting SFAS No. 150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Financial Instruments with Characteristics of Both Liabilities</w:t>
      </w:r>
      <w:r>
        <w:rPr>
          <w:rFonts w:ascii="Arial" w:cs="Arial" w:eastAsia="Arial" w:hAnsi="Arial"/>
          <w:sz w:val="16"/>
          <w:szCs w:val="16"/>
          <w:color w:val="auto"/>
        </w:rPr>
        <w:t>” (“SFAS No. 150”) on July 1, 2003. For the three months ended September 30, 2006, we</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dividends in lieu of the interest expense accrued for one and half month and dividend accrued for the remaining half in the comparable prior period. See Note 8, “Redeemable Preferred Stock,” in the notes to unaudited consolidated financial statements for the period ended September 30, 2006.</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income taxes decreased from an expense of $0.7 million for the three months ended September 30, 2005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$0.2 million the three months ended September 30, 2006. The decrease is primarily the result of the recognition of a deferred tax benefit for our U.S. entities with effect from the fourth quarter of 2005 when we realized that it was more like than not that there will be sufficient future taxable income to realize the deferred tax asset.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Dividends and Accretion on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accretion on preferred stock were $0.2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reflecting the reclassification of our preferred stock in August 2005. The preferred stock was classified as a liability until August 16, 2005 and was reflected as equity thereafter in the comparable prior period. See Note 8, “Redeemable Preferred Stock,” in the notes to unaudited consolidated financial statements for the period ended September 30, 2006.</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increased 272.7% from $1.1 million for the three months ended September 30, 2005 to $4.1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2006. Net Income margin increased period-to-period due to increase in the revenue growth, favorable exchange rates, better capacity utilization and a savings in employee costs due to delayed hiring of professionals in support function in the 2006 period over the 2005 period. The significant increase in Net Income to common stock holders does not represent a trend in our results of operations and will vary as we build capacity for future ramps ups and exchange rate changes. As a percentage of revenues, net income increased from 5.9% for the three months ended September 30, 2005 to 11.5% for the three months ended September 30, 2006.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2006 Compared to Nine Months Ended September 30, 2005</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a result of the Inductis Acquisition, our results of operations for the nine months ended September 30, 2006 are not comparable to the nine months ended September 30, 2005. Our results of operations for the nine months ended September 30, 2006 are favorably impacted by an increase in revenues, changes in exchange rates and a better capacity utilization over the nine months ended September 30, 2005.</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increased 52.8% from $54.0 million for the nine months ended September 30, 2005 (including $2.3 million of reimbursable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$82.5 million for the nine months ended September 30, 2006 (including $3.4 million of reimbursable expenses). We recognized revenues from 58 clients (including 16 clients acquired in the Inductis Acquisition), including clients for our research and analytics services and our advisory services, during the nine months ended September 30, 2006 compared to 30 clients during the nine months ended September 30, 2005. Revenues attributable to new clients (excluding revenue increases attributable to existing clients and revenue increase on account of the Inductis Acquisition)) were $1.7 million for the nine months ended September 30, 2006. Revenues attributable to clients obtained as a result of the Inductis Acquisition were $6.3 million during the nine months ended September 30, 2006.</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46.4% from $35.1 million for the nine months ended September 30, 2005 to $51.4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2006. Cost of revenues includes $4.0 million in cost of revenues of the Inductis business. Salaries and personnel expenses increased from $22.7 million in the 2005 period to $34.4 million in the 2006 period as a result of an increase in headcount from 4,742 employees at September 30, 2005 to 7,910 employees (including 257 employees from Inductis) at September 30, 2006. Cost of revenues also increased due to an increase in reimbursable expenses, primarily as a result of significant additional costs associated with training activities on client premises. Facilities operating costs increased from $4.8 million for the nine months ended September 30, 2005 to $6.0 million for the nine months ended September 30, 2006, primarily reflecting our increased workforce, increased capacity utilization and the commencement of operations in February 2006 of a new 1,000-seat center in Noida. Technology and telecommunications operating costs increased from $4.6 million in the nine months ended September 30, 2005 to $5.0 million in the nine months ended September 30, 2006. Technology and telecommunication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remained constant due to decrease in telecommunication rates and the better utilization of bandwidth. This was offset by an increase in costs due to an increase in business. Cost of revenues increased due to the inclusion of $4.0 million in cost of revenues from the Inductis business. Cost of revenues includes $0.2 million and nil for the nine months ended September 30, 2006 and September 30, 2005, respectively, on account of amortization of stock compensation expense relating to our issuance of stock options to employees directly involved in providing services to our clients. As a percentage of revenues, cost of revenues decreased from 65% for the nine months ended September 30, 2005 to 62.3% for the nine months ended September 30, 2006.</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64.6% from $18.9 million for the nine months ended September 30, 2005 to $31.1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2006. The significant increase in gross profit does not represent a trend in our results of operations. Gross profit also increased as a result of the Inductis Acquisition, which contributed $2.3 million in gross profit for the three months, ended September 30, 2006. As a percentage of revenues, gross profit increased from 35% for the nine months ended September 30, 2005 to 37.7% for the nine months ended September 30, 2006.</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expenses increased 48.6% from $10.9 million for the nine months ended September 30, 2005 to $16.2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2006. General and administrative expenses increased 35% from $9.7 million for the nine months ended September 30, 2005 to $13.1 million for the nine months ended September 30, 2006 and selling and marketing expenses increased 156.7% from $1.2 million for the nine months ended September 30, 2005 to $3.08 million for the nine months ended September 30, 2006. These increases were primarily due to the addition of headquarters and sales and marketing staff in the United States, as well as an increase in audit and other professional fees incurred as a result of becoming a public company. Salary and personnel expenses increased from $6.1 million for the nine months ended September 30, 2005 to $9.4 million for the nine months ended September 30, 2006. Salaries and personnel expense included $2.0 million in expenses from the Inductis business. SG&amp;A expenses include $1.0 million and $0.05 million on account of amortization of stock compensation expense relating to our issuance of stock options to our non-operations staff. As a percentage of revenues, SG&amp;A expenses decreased from 20.2% for the nine months ended September 30, 2005 to 19.6% for the nine months ended September 30, 2006.</w:t>
      </w:r>
    </w:p>
    <w:p>
      <w:pPr>
        <w:spacing w:after="0" w:line="12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b w:val="1"/>
          <w:bCs w:val="1"/>
          <w:i w:val="1"/>
          <w:iCs w:val="1"/>
          <w:color w:val="auto"/>
        </w:rPr>
        <w:t>Depreciation and Amortization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amortization increased 40.0% from $4.5 million for the nine months ended September 30, 2005 to $6.3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2006. The increase was primarily due to the commencement of operations in February 2006 of the additional center referred to above. The increase was also due to $0.6 million on account of amortization of intangibles acquired from Inductis. As we add facilities, we also expect that depreciation expense will increase, reflecting additional investment in equipment and facilities necessary to meet service requirements.</w:t>
      </w:r>
    </w:p>
    <w:p>
      <w:pPr>
        <w:spacing w:after="0" w:line="9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operations increased 148.6% from $3.5 million for the first nine months of 2005 to $8.6 million for the first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of 2006. Operating margin increased period-to-period due to a significant increase in revenues, favorable exchange rates and a better capacity utilization in the 2006 period over the 2005 period. The increase in income from operations does not represent a trend in our results of operations. As a percentage of revenues, income from operations increased from 6.4% for the first nine months of 2005 to 10.4% for the first nine months of 2006.</w:t>
      </w:r>
    </w:p>
    <w:p>
      <w:pPr>
        <w:spacing w:after="0" w:line="11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Other Income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(expense) increased from income of $1.3 million for the nine months ended September 30, 2005 to an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$0.3 million for the nine months ended September 30, 2006 as a result of foreign exchange losses. Other income is comprised of foreign exchange gains and losses, interest income and expense and interest expense on redeemable preferred stock. Foreign exchange showed a loss of $0.7 million for the nine months ended September 30, 2006 compared to a gain of $1.5 million in the nine months ended September 30, 2005. Interest and other income and interest expense for the two periods reflected the reclassification of our preferred stock from debt to equity on August 16, 2005 as a result of our adopting SFAS No. 150 on July 1, 2003. For the nine months ended September 30, 2006, we accrued dividends in lieu of the interest expense accrued in the first seven and a half months and dividend in the next one and a half months. See Note 8, “Redeemable Preferred Stock,” in the notes to unaudited consolidated financial statements for the period ended September 30, 2006.</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income taxes decreased from an expense of $1.0 million in the nine months ended September 30, 2005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$0.4 million in the nine months ended September 30, 2006. The decrease is primarily because of the recognition of a deferred tax benefit for our U.S. entities with effect from the fourth quarter of 2005 when we realized that it was more like than not that there will be sufficient future taxable income to realize the deferred tax asset.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Dividends and Accretion on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accretion on preferred stock were $0.5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reflecting the reclassification of our preferred stock in August 2005. The preferred stock was classified as a liability in most of the comparable prior period. See Note 8, “Redeemable Preferred Stock,” in the notes to unaudited consolidated financial statements for the period ended September 30, 2006.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increased 97.4% from $3.8 million for the nine months ended September 30, 2005 to $7.5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2006. Net Income margin increased period-to-period due to the increase in revenue growth, favorable exchange rates and a better capacity utilization rate in the 2006 period over the 2005 period. The significant increase in Net Income to common stock holders does not represent a trend in our results of operations and will vary as we build capacity for future ramps ups and exchange rate changes. As a percentage of revenues, net income increased from 7% for the nine months ended September 30, 2005 to 9.1% for the nine months ended September 30,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2006, we had $25.6 million in cash and cash equivalents on hand.</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25, 2006, we consummated an initial public offering of our shares of common stock. In the offering, we issued and sold 5,750,000 shares of our common stock at an initial offering price of $13.50 per share, resulting in gross proceeds of $77.6 million and net proceeds of approximately $69.7 million to us after deducting underwriting discounts and commissions of approximately $5.4 million and related offering expenses of approximately $2.5 million. We used approximately $6.7 million of the net proceeds from the initial public offering to repurchase all of our outstanding shares of Series A Preferred Stock and approximately $5.8 million to repay all outstanding senior promissory notes payable to certain of our stockholders.</w:t>
      </w:r>
    </w:p>
    <w:p>
      <w:pPr>
        <w:spacing w:after="0" w:line="11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In the first nine months of 2006, cash flows from operating activities slightly decreased to $10.8 million compared to $10.9 million for the first nine months of 2005. This decrease is predominantly due to an increase in accounts receivable as a result of the timing of customer payments, an increase in deferred taxes, an increase in other assets due to a provision for IPO costs and a decrease in deferred revenue in the first nine months of 2006. The increase in accounts receivable is also a result of increased daily sales outstanding as a result of acquisition of Inductis, which has historically had higher daily sales outstanding. We have initiated steps to reduce the amount of over due receivables of the Company. This increase was offset by a decrease in accounts payable and accrued expenses due to the timing of payments to our vendors and prepaid expenses. Net income increased in the first nine months of 2006 by $4.2 million compared to the first nine months of 2005 due to continued growth in our business.</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Cash used in investing activities has been mainly for the purchase of Inductis and fixed assets. Cash used in investing activities increased to $4.7 million in the first nine months of 2006 from $2.7 million in the first nine months of 2005. The increase is a result of the purchase consideration paid for the Inductis Acquisition and for the purchase of fixed assets for the new operations center in Noida, which has a capacity of approximately 1,000 seats. We had no new facilities become operational in 2005 and thus incurred less leasehold improvements and other facility expenditures in that period.</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used in financing activities increased from $0.2 million during the first nine months of 2005 to $4.5 million during the first nine months of 2006. This was a result of the repayment of $4.3 million of debt assumed in the Inductis Acquisition. The increase was also due to an increase in capital lease principal payments. This was partly offset by money received from employees on exercise of options.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Capital expenditures we make to meet client needs represent primarily leasehold improvements to buildout facilities, telecommunications equipment, and computer hardware and software we purchase in connection with managing client operations. We intend to establish a new operations facility in Noida, India, during 2007 with an installed capacity of approximately 1,150 workstations at a total estimated cost of approximately $8.0 million. We have already entered into a letter of intent for the facility. We also intend to exercise our buy-out option under the lease for one of our operation centers in Pune, India, for a total estimated cost, including fit-out, of approximately $3.0 million. We currently have no other individually large outstanding commitments for capital expenditures. The timing and volume of such capital expenditures in the future will be affected by new contracts we may enter into or the expansion of our existing contracts. Therefore, we cannot reasonably predict our capital expenditures beyond 2007.</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to incur approximately $8.5 million of cash outflow on account of capital spend in 2006, of which we had incurred approximately $3.7 million as of September 30, 2006. Of these, we expect to incur approximately $4.0 million to establish a new operations facility in Noida, which will become operational in 2007. We expect to incur approximately $11 million to $13 million of cash outflow on account of capital spend in 2007. We expect capital expenditures in 2006 and 2007 will be used primarily to meet the growth requirements of our clients, including expanding our facilities and establishing our new facility in Noida in 2007,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well as to improve our internal technology. In addition, 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July 1, 2006, we completed the Inductis Acquisition. The total consideration for the Inductis Acquisition, including the assumption of liabilities, earnout and contingent payments, transaction costs and working capital adjustment, is approximately $31.5 million. We paid approximately $11.5 million at the closing of the Inductis Acquisition in the form of $2.4 million in cash, the issuance of 524,981 shares of our Series A common stock (1,049,962 shares of common stock after giving effect to the Stock Split and Conversion) after withholding in respect of taxes, $0.9 million in transaction costs, a $0.4 million bonus payable in January 2007 and an approximately $0.6 million working capital adjustment payment based on the net working capital of Inductis and its subsidiaries as of September 30, 2006. We also assumed $4.3 million of Inductis debt which we repaid in full on September 26, 2006. We also agreed to make certain earnout payments to the former holders of Inductis securities of up to 389,906 shares of Series A common stock (779,812 shares of common stock after giving effect to the Stock Split and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use the remaining net proceeds from our initial public offering for working capital and general corporate purposes. We anticipate that we will continue to rely upon cash from operating activities and remaining proceeds from our initial public offering to finance our capital expenditures and working capital needs. We believe that cash flow from operations and the remaining net proceeds from our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30, 2005 and September 30, 2006,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has been no material changes to our contractual obligations during the period covered by this Quarterly Report on Form 10-Q from the statements set forth in our Registration Statement on Form S-1 (Registration No. 333-121001) under “Managements’ Discussion and Analysis of Financial Condition and Results of Operations—Contractual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February 2006, the FASB issued SFAS No. 155, which permits fair value remeasurement for any hybrid financial 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do not expect the adoption of SFAS No. 155 to have a material impact on our consolidated financial position, results of operations or cash flows.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March 2006, the FASB issued SFAS No. 156, which clarifies the accounting for separately recognized servicing assets and liabilities. SFAS No. 156 is effective in fiscal years beginning after September 15, 2006. We do not believe the adoption of SFAS No. 156 will have a material impact on our consolidated financial position, results of operation or cash flows.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In July 2006, the FASB FIN 48, which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FIN 48 is effective for fiscal years beginning after December 15, 2006. We have not yet evaluated the impact of adopting FIN 48 on our consolidated financial position, results of operation or cash flows. However, we do not believe that our accounting for the two current India tax assessments pending against certain of our subsidiaries will be impacted by the adoption of FIN 48.</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September 2006, the FASB issued SFAS No. 157,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We are currently evaluating the impact of SFAS No. 157, but do not expect the adoption of SFAS No. 157 to have a material impact on our consolidated financial position, results of operations or cash flows.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September 29, 2006, FASB issued SFAS No. 158. The standard amends SFAS Nos. 87, 88, 106, and 132R. Under past accounting standards, the funded status of an employer’s postretirement benefit plan (i.e., the difference between the plan assets and obligations) was not always completely reported in the balance sheet. Employers reported an asset or liability that almost always differed from the plan’s funded status because previous accounting standards allowed employers to delay recognition of certain changes in plan assets and obligations that affected the costs of providing such benefits. Past standards only required an employer to disclose the complete funded status of its plans in the notes to the financial statements. SFAS No. 158 requires an employer to:</w:t>
      </w:r>
    </w:p>
    <w:p>
      <w:pPr>
        <w:spacing w:after="0" w:line="3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 in its statement of financial position an asset for a plan’s overfunded status or a liability for a plan’s underfunded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measure a plan’s assets and its obligations that determine its funded status as of the end of the employer’s fiscal year (with limited exceptions); and</w:t>
      </w:r>
    </w:p>
    <w:p>
      <w:pPr>
        <w:spacing w:after="0" w:line="113" w:lineRule="exact"/>
        <w:rPr>
          <w:rFonts w:ascii="Arial" w:cs="Arial" w:eastAsia="Arial" w:hAnsi="Arial"/>
          <w:sz w:val="16"/>
          <w:szCs w:val="16"/>
          <w:color w:val="auto"/>
        </w:rPr>
      </w:pPr>
    </w:p>
    <w:p>
      <w:pPr>
        <w:ind w:left="900" w:right="6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recognize changes in the funded status of a defined benefit postretirement plan in the year in which the changes occur. Those changes will be reported in comprehensive income of a business entity and in changes in net assets of a not-for-profit organization.</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requirement to recognize the funded status of a benefit plan and the disclosure requirements are effective as of the end of the fiscal year ending after December 15, 2006, for public companies. The requirement to measure plan assets and benefit obligations as of the date of the employer’s fiscal year-end statement of financial position is effective for fiscal years ending after December 15, 2008. We are assessing the impact of adoption of SFAS No. 158 on our consolidated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exchange rates between the pound sterling, the U.S. dollars and the Indian rupee;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risks could cause actual results to differ materially from those implied by forward-looking statements in this prospectus.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forward-looking statements in this Quarterly Report on Form 10-Q after the date of this Quarterly Report on Form 10-Q, except as required by federal securities laws.</w:t>
      </w:r>
    </w:p>
    <w:p>
      <w:pPr>
        <w:spacing w:after="0" w:line="218" w:lineRule="exact"/>
        <w:rPr>
          <w:sz w:val="20"/>
          <w:szCs w:val="20"/>
          <w:color w:val="auto"/>
        </w:rPr>
      </w:pPr>
    </w:p>
    <w:p>
      <w:pPr>
        <w:ind w:right="4400"/>
        <w:spacing w:after="0" w:line="34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ESSPL is the Indian rupee. The functional currency of Exl UK is the pound sterling. The functional currency of Inductis (Singapore) Pte Limited is the Singapore dollar.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2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primarily denominated in pound sterling (45.4% in the three months ended September 30, 2006 and 51.2% for the nine months ended September 30, 2006) or U.S. dollars (53.7% in the three months ended September 30, 2006 and 48.4% for the nine months ended September 30, 2006), most of our expenses (62.9% in the three months ended September 30, 2006 and 71.3% for the nine months ended September 30, 2006) are incurred and paid in Indian rupees. The exchange rates among the Indian rupee, the pound sterling and the U.S. dollar have changed substantially in recent years and may fluctuate substantially in the future.</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the first nine months of 2006 and excluding any hedging arrangements that we had in place during that period, a 5.0% appreciation/depreciation in the pound sterling against the U.S. dollar would have increased/decreased revenues in the first nine months of 2006 by approximately $2.1 million. Similarly, a 5.0% depreciation in the Indian rupee against the U.S. dollar would have decreased our expenses incurred and paid in rupees in the first nine months of 2006 by approximately $2.6 million. Conversely, a 5.0% appreciation in the Indian rupee against the U.S. dollar would have increased our expenses incurred and paid in Indian rupees during the first nine months of 2006 by approximately $2.8 million.</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Forward exchange contracts with a notional amount of $44.5 million and GBP 8.2 million were outstanding at December 31, 2005 and of $35.5 million and GBP 13.0 million were outstanding at September 30, 2006.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Interest Rate Risk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exposure to interest rate risk arose principally from interest on our debt. We had $4.9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promissory notes outstanding as of September 30, 2006. Interest on the principal amount of the promissory notes was payable at maturity and accrued at a rate equal to the greater of 2.02% semiannually or LIBOR. We used a portion of the net proceeds from our initial public offering to repay all of our outstanding promissory notes, plus accrued but unpaid interest to the date of repayment. In connection with the Inductis Acquisition, we assumed certain debt obligations of Inductis, which we repaid in full on September 26, 2006. As a result, we no longer have significant interest rate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2006. The Chief Executive Officer and Chief Financial Officer concluded that our disclosure controls and procedures as of September 30, 2006 were effective to provide reasonable assurance that the information required to be disclosed by us in reports filed under the Securities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September 30, 2006 that has materially affected, or is reasonably likely to materially affect, our internal control over financial reporting. Since the acquisition of Inductis, the Company has initiated steps designed to integrate and align the revenue recognition and receivables management policies and processes of Inductis with those used by our historic service units. These steps are intended to strengthen these policies and procedures.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disclosed under the heading “Business–Legal Proceedings” in our registration statement on Form S-1 (Registration No. 333-121001) filed with the SEC on December 6, 2004, as amended, certain proceedings which may materially affect our business, financial condition or results of operations. You should carefully consider the disclosures set forth in the Registration Statement and the other information set forth elsewhere in this Quarterly Report on Form 10-Q.</w:t>
      </w:r>
    </w:p>
    <w:p>
      <w:pPr>
        <w:spacing w:after="0" w:line="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previously disclosed in our Registration Statement, we are currently involved in disputes with Indian tax authorities over the application of some of our transfer pricing policies. We have received two assessment orders from the Indian tax authorities with respect to their audit of certain of our subsidiaries. The first assessment demands that Exl India pay additional taxes in the amount of approximately $2.1 million. We have been required to pay approximately $700,000 by the Indian tax authorities as a deposit in respect of the first assessment while we are contesting the above order before the authorities. We have already deposited approximately $436,000 and the balance may have to be deposited in case we do not have a decision in our favor from the first appellate authority before December 31, 2006. The second assessment demands the payment by Exl Inc. of approximately $3.2 million. Out of $3.2 million we have been asked to pay approximately $775,000 by November 2006 and approximately $775,000 by January 2007. We have appealed both assessments.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We do not expect any impact from these assessments on our future income tax expense. ExlService Holdings is subject to U.S. income taxes on the profits it recognizes in the United States. There is a possibility that the Company might receive similar orders for subsequent years until the common dispute is resolved.</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disclosed under the heading “Risk Factors” in our Registration Statement on Form S-1 (Registration No. 333-121001) filed with the SEC on December 6, 2004, as amended, the risk factors which materially affect our business, financial condition or results of operations. You should carefully consider the “Risk Factors” set forth in the Registration Statement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91" w:lineRule="exact"/>
        <w:rPr>
          <w:sz w:val="20"/>
          <w:szCs w:val="20"/>
          <w:color w:val="auto"/>
        </w:rPr>
      </w:pPr>
    </w:p>
    <w:p>
      <w:pPr>
        <w:ind w:right="4480"/>
        <w:spacing w:after="0" w:line="347" w:lineRule="auto"/>
        <w:rPr>
          <w:sz w:val="20"/>
          <w:szCs w:val="20"/>
          <w:color w:val="auto"/>
        </w:rPr>
      </w:pPr>
      <w:r>
        <w:rPr>
          <w:rFonts w:ascii="Arial" w:cs="Arial" w:eastAsia="Arial" w:hAnsi="Arial"/>
          <w:sz w:val="18"/>
          <w:szCs w:val="18"/>
          <w:b w:val="1"/>
          <w:bCs w:val="1"/>
          <w:color w:val="auto"/>
        </w:rPr>
        <w:t>ITEM 2. UNREGISTERED SALES OF EQUITY SECURITIES AND USE OF PROCEEDS Unregistered Sales of Equity Securities</w:t>
      </w:r>
    </w:p>
    <w:p>
      <w:pPr>
        <w:spacing w:after="0" w:line="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July 1, 2006, we issued an aggregate of 524,981 shares of Series A common stock (1,049,962 shares of our common stock after giving effect to the Stock Split and Conversion in connection with the consummation of our initial public offering in October 2006), after reduction for cashless withholding in respect of taxes, and granted 84,897 restricted shares of Series B common stock (169,794 shares of our common stock after giving effect to the Stock Split and Conversion in connection with the consummation of our initial public offering in October 2006) to the former holders of Inductis common stock, restricted common stock and unvested options in consideration for the Inductis Acquisition. The issuance of the shares of Series A common stock was effected without registration under the Securities Act in reliance on the exemption from registration provided under Section 4(2), Regulation D and Regulation S promulgated thereunder. The grants of the restricted shares of Series B common stock were effected without registration under the Securities Act in reliance on the exemption from registration provided under Rule 701 and Regulation S thereunder.</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July 27, 2006, our compensation committee approved a grant of 54,605 restricted shares of our Series B common stock (109,210 shares of our common stock after giving effect to the Stock Split and Conversion in connection with the consummation of our initial public offering in October 2006) under our 2006 Omnibus Award Plan. This transaction was effected without registration under the Securities Act in reliance on the exemption from registration provided under Rule 701 thereunder.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29, 2006, our board of directors approved a grant of 14,000 restricted stock unit awards (28,000 restricted shares of our common stock after giving effect to the Stock Split and Conversion in connection with the consummation of our initial public offering in October 2006) to our non-executive directors under our 2006 Omnibus Award Plan. This transaction was effected without registration under the Securities Act in reliance on the exemption from registration provided under Rule 701 and Regulation S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issued options to purchase 377,975 shares of our Series B common stock (755,950 shares of our common stock after giving effect to the Stock Split and Conversion in connection with the consummation of our initial public offering in October 2006) under our 2003 Stock Option Plan, our 2003 India Stock Employee Option Plan, our 2006 Omnibus Award Plan and our 2006 Omnibus India Subplan 1 during the three months ended September 30, 2006, as described below. All of these issuances were effected without registration under the Securities Act in reliance on the exemption from registration provided pursuant to Rule 701, Regulation S or Section 4(2) of the Securities Act.</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Options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Post-Stock</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Post-Stock</w:t>
            </w:r>
          </w:p>
        </w:tc>
      </w:tr>
      <w:tr>
        <w:trPr>
          <w:trHeight w:val="168"/>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Date of Grant</w:t>
            </w:r>
          </w:p>
        </w:tc>
        <w:tc>
          <w:tcPr>
            <w:tcW w:w="100" w:type="dxa"/>
            <w:vAlign w:val="bottom"/>
          </w:tcPr>
          <w:p>
            <w:pPr>
              <w:spacing w:after="0"/>
              <w:rPr>
                <w:sz w:val="14"/>
                <w:szCs w:val="14"/>
                <w:color w:val="auto"/>
              </w:rPr>
            </w:pPr>
          </w:p>
        </w:tc>
        <w:tc>
          <w:tcPr>
            <w:tcW w:w="1960" w:type="dxa"/>
            <w:vAlign w:val="bottom"/>
          </w:tcPr>
          <w:p>
            <w:pPr>
              <w:ind w:left="440"/>
              <w:spacing w:after="0"/>
              <w:rPr>
                <w:sz w:val="20"/>
                <w:szCs w:val="20"/>
                <w:color w:val="auto"/>
              </w:rPr>
            </w:pPr>
            <w:r>
              <w:rPr>
                <w:rFonts w:ascii="Arial" w:cs="Arial" w:eastAsia="Arial" w:hAnsi="Arial"/>
                <w:sz w:val="14"/>
                <w:szCs w:val="14"/>
                <w:b w:val="1"/>
                <w:bCs w:val="1"/>
                <w:color w:val="auto"/>
              </w:rPr>
              <w:t>Number of Option</w:t>
            </w: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Split/Conversion</w:t>
            </w: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Split/Conversion</w:t>
            </w:r>
          </w:p>
        </w:tc>
      </w:tr>
      <w:tr>
        <w:trPr>
          <w:trHeight w:val="216"/>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6</w:t>
            </w:r>
          </w:p>
        </w:tc>
        <w:tc>
          <w:tcPr>
            <w:tcW w:w="10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$23.75</w:t>
            </w:r>
          </w:p>
        </w:tc>
        <w:tc>
          <w:tcPr>
            <w:tcW w:w="8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$11.88</w:t>
            </w: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July 27</w:t>
            </w:r>
          </w:p>
        </w:tc>
        <w:tc>
          <w:tcPr>
            <w:tcW w:w="2060" w:type="dxa"/>
            <w:vAlign w:val="bottom"/>
            <w:gridSpan w:val="2"/>
          </w:tcPr>
          <w:p>
            <w:pPr>
              <w:jc w:val="right"/>
              <w:ind w:right="622"/>
              <w:spacing w:after="0"/>
              <w:rPr>
                <w:sz w:val="20"/>
                <w:szCs w:val="20"/>
                <w:color w:val="auto"/>
              </w:rPr>
            </w:pPr>
            <w:r>
              <w:rPr>
                <w:rFonts w:ascii="Arial" w:cs="Arial" w:eastAsia="Arial" w:hAnsi="Arial"/>
                <w:sz w:val="18"/>
                <w:szCs w:val="18"/>
                <w:color w:val="auto"/>
              </w:rPr>
              <w:t>362,975</w:t>
            </w:r>
          </w:p>
        </w:tc>
        <w:tc>
          <w:tcPr>
            <w:tcW w:w="2160" w:type="dxa"/>
            <w:vAlign w:val="bottom"/>
            <w:gridSpan w:val="2"/>
          </w:tcPr>
          <w:p>
            <w:pPr>
              <w:jc w:val="right"/>
              <w:ind w:right="667"/>
              <w:spacing w:after="0"/>
              <w:rPr>
                <w:sz w:val="20"/>
                <w:szCs w:val="20"/>
                <w:color w:val="auto"/>
              </w:rPr>
            </w:pPr>
            <w:r>
              <w:rPr>
                <w:rFonts w:ascii="Arial" w:cs="Arial" w:eastAsia="Arial" w:hAnsi="Arial"/>
                <w:sz w:val="18"/>
                <w:szCs w:val="18"/>
                <w:color w:val="auto"/>
              </w:rPr>
              <w:t>725,950</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87"/>
              </w:rPr>
              <w:t>$23.75</w:t>
            </w: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87"/>
              </w:rPr>
              <w:t>$11.88</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to purchase 18,883 shares were exercised during the three months ended September 30,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October 25, 2006, we issued and sold all of the 5,750,000 shares of our common stock that we registered under a Registration Statement on Form S-1 (File No. 333-121001) which became effective on October 19, 2006, and a Registration Statement on Form S-1 (File No. 333-138104) which became effective on October 20, 2006, in an initial public offering at an offering price of $13.50 per share. The aggregate offering price of the common stock sold (including the exercise by the managing underwriters of their over-allotment option) resulted in gross proceeds of $77.6 million and net proceeds of approximately $69.7 million to us after deducting underwriting discounts and commissions of approximately $5.4 million and related offering expenses of approximately $2.5 million, none of which was paid to the underwriters. The managing underwriters for the offering were Citigroup, Goldman, Sachs &amp; Co., Merrill Lynch &amp; Co. and Thomas Wiesel Partners LLC. None of the expenses we incurred in connection with the offering were direct or indirect payments to our directors, officers, general partners or their associates, to persons owning 10% or more of our equity securities or to our affiliates (collectively “Related Parties”). We used approximately $6.7 million of the net proceeds from our initial public offering to repurchase all of our outstanding shares of Series A Preferred Stock and approximately $5.8 million to repay all our outstanding senior promissory notes payable to certain of our stockholders. Certain of the holders of our Series A Preferred Stock and senior promissory notes are Related Parties and we used approximately $12.5 million of the net proceeds from our initial public offering to repurchase the shares of Series A Preferred Stock and repay the senior promissory notes held by such Related Parties.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90" w:lineRule="exact"/>
        <w:rPr>
          <w:sz w:val="20"/>
          <w:szCs w:val="20"/>
          <w:color w:val="auto"/>
        </w:rPr>
      </w:pPr>
    </w:p>
    <w:p>
      <w:pPr>
        <w:ind w:left="580" w:right="160" w:hanging="580"/>
        <w:spacing w:after="0" w:line="259" w:lineRule="auto"/>
        <w:tabs>
          <w:tab w:leader="none" w:pos="560" w:val="left"/>
        </w:tabs>
        <w:rPr>
          <w:sz w:val="20"/>
          <w:szCs w:val="20"/>
          <w:color w:val="auto"/>
        </w:rPr>
      </w:pPr>
      <w:r>
        <w:rPr>
          <w:rFonts w:ascii="Arial" w:cs="Arial" w:eastAsia="Arial" w:hAnsi="Arial"/>
          <w:sz w:val="18"/>
          <w:szCs w:val="18"/>
          <w:color w:val="auto"/>
        </w:rPr>
        <w:t>10.1</w:t>
        <w:tab/>
        <w:t>Employment and Non-Competition Agreement entered into by and among ExlService Holdings, Inc., ExlService.com, Inc., ExlService.com (India) Private Limited and Vikram Talwar (incorporated by reference to Exhibit 10.14 to Amendment No. 5 to the Company’s Registration Statement on Form S-1 (File No. 333-121001)).</w:t>
      </w:r>
    </w:p>
    <w:p>
      <w:pPr>
        <w:spacing w:after="0" w:line="86" w:lineRule="exact"/>
        <w:rPr>
          <w:sz w:val="20"/>
          <w:szCs w:val="20"/>
          <w:color w:val="auto"/>
        </w:rPr>
      </w:pPr>
    </w:p>
    <w:p>
      <w:pPr>
        <w:ind w:left="580" w:right="40" w:hanging="580"/>
        <w:spacing w:after="0" w:line="259" w:lineRule="auto"/>
        <w:tabs>
          <w:tab w:leader="none" w:pos="560" w:val="left"/>
        </w:tabs>
        <w:rPr>
          <w:sz w:val="20"/>
          <w:szCs w:val="20"/>
          <w:color w:val="auto"/>
        </w:rPr>
      </w:pPr>
      <w:r>
        <w:rPr>
          <w:rFonts w:ascii="Arial" w:cs="Arial" w:eastAsia="Arial" w:hAnsi="Arial"/>
          <w:sz w:val="18"/>
          <w:szCs w:val="18"/>
          <w:color w:val="auto"/>
        </w:rPr>
        <w:t>10.2</w:t>
        <w:tab/>
        <w:t>Employment and Non-Competition Agreement entered into by and among ExlService Holdings, Inc., ExlService.com, Inc., ExlService.com (India) Private Limited and Rohit Kapoor (incorporated by reference to Exhibit 10.15 to Amendment No. 5 to the Company’s Registration Statement on Form S-1 (File No. 333-121001)).</w:t>
      </w:r>
    </w:p>
    <w:p>
      <w:pPr>
        <w:spacing w:after="0" w:line="86" w:lineRule="exact"/>
        <w:rPr>
          <w:sz w:val="20"/>
          <w:szCs w:val="20"/>
          <w:color w:val="auto"/>
        </w:rPr>
      </w:pPr>
    </w:p>
    <w:p>
      <w:pPr>
        <w:ind w:left="580" w:hanging="580"/>
        <w:spacing w:after="0" w:line="268" w:lineRule="auto"/>
        <w:tabs>
          <w:tab w:leader="none" w:pos="560" w:val="left"/>
        </w:tabs>
        <w:rPr>
          <w:sz w:val="20"/>
          <w:szCs w:val="20"/>
          <w:color w:val="auto"/>
        </w:rPr>
      </w:pPr>
      <w:r>
        <w:rPr>
          <w:rFonts w:ascii="Arial" w:cs="Arial" w:eastAsia="Arial" w:hAnsi="Arial"/>
          <w:sz w:val="18"/>
          <w:szCs w:val="18"/>
          <w:color w:val="auto"/>
        </w:rPr>
        <w:t>10.3</w:t>
        <w:tab/>
        <w:t>Letter Agreement with the Company and an executive officer, dated July 27, 2006 (incorporated by reference to Exhibit 10.34 to Amendment No. 5 to the Company’s Registration Statement on Form S-1 (File No. 333-121001)).</w:t>
      </w:r>
    </w:p>
    <w:p>
      <w:pPr>
        <w:spacing w:after="0" w:line="78" w:lineRule="exact"/>
        <w:rPr>
          <w:sz w:val="20"/>
          <w:szCs w:val="20"/>
          <w:color w:val="auto"/>
        </w:rPr>
      </w:pPr>
    </w:p>
    <w:p>
      <w:pPr>
        <w:jc w:val="both"/>
        <w:ind w:left="580" w:right="380" w:hanging="580"/>
        <w:spacing w:after="0" w:line="259" w:lineRule="auto"/>
        <w:tabs>
          <w:tab w:leader="none" w:pos="560" w:val="left"/>
        </w:tabs>
        <w:rPr>
          <w:sz w:val="20"/>
          <w:szCs w:val="20"/>
          <w:color w:val="auto"/>
        </w:rPr>
      </w:pPr>
      <w:r>
        <w:rPr>
          <w:rFonts w:ascii="Arial" w:cs="Arial" w:eastAsia="Arial" w:hAnsi="Arial"/>
          <w:sz w:val="18"/>
          <w:szCs w:val="18"/>
          <w:color w:val="auto"/>
        </w:rPr>
        <w:t>10.4</w:t>
        <w:tab/>
        <w:t>Agreement dated July 17, 2006 among Norwich Union Customer Services (Singapore) PTE Ltd., ExlService Holdings, Inc., ExlService.com (India) Private Limited and Noida Customer Operations Private Limited (incorporated by reference to Exhibit 10.36 to Amendment No. 5 to the Company’s Registration Statement on Form S-1 (File No. 333-121001)).</w:t>
      </w:r>
    </w:p>
    <w:p>
      <w:pPr>
        <w:spacing w:after="0" w:line="86" w:lineRule="exact"/>
        <w:rPr>
          <w:sz w:val="20"/>
          <w:szCs w:val="20"/>
          <w:color w:val="auto"/>
        </w:rPr>
      </w:pPr>
    </w:p>
    <w:p>
      <w:pPr>
        <w:ind w:left="580" w:right="660" w:hanging="580"/>
        <w:spacing w:after="0" w:line="268" w:lineRule="auto"/>
        <w:tabs>
          <w:tab w:leader="none" w:pos="560" w:val="left"/>
        </w:tabs>
        <w:rPr>
          <w:sz w:val="20"/>
          <w:szCs w:val="20"/>
          <w:color w:val="auto"/>
        </w:rPr>
      </w:pPr>
      <w:r>
        <w:rPr>
          <w:rFonts w:ascii="Arial" w:cs="Arial" w:eastAsia="Arial" w:hAnsi="Arial"/>
          <w:sz w:val="18"/>
          <w:szCs w:val="18"/>
          <w:color w:val="auto"/>
        </w:rPr>
        <w:t>10.5</w:t>
        <w:tab/>
        <w:t>Restricted Stock Award Agreement between Vikram Talwar and the Company dated July 27, 2006 (incorporated by reference to Exhibit 10.41 to Amendment No. 5 to the Company’s Registration Statement on Form S-1 (File No. 333-121001)).</w:t>
      </w:r>
    </w:p>
    <w:p>
      <w:pPr>
        <w:spacing w:after="0" w:line="78" w:lineRule="exact"/>
        <w:rPr>
          <w:sz w:val="20"/>
          <w:szCs w:val="20"/>
          <w:color w:val="auto"/>
        </w:rPr>
      </w:pPr>
    </w:p>
    <w:p>
      <w:pPr>
        <w:ind w:left="580" w:right="400" w:hanging="580"/>
        <w:spacing w:after="0" w:line="268" w:lineRule="auto"/>
        <w:tabs>
          <w:tab w:leader="none" w:pos="560" w:val="left"/>
        </w:tabs>
        <w:rPr>
          <w:sz w:val="20"/>
          <w:szCs w:val="20"/>
          <w:color w:val="auto"/>
        </w:rPr>
      </w:pPr>
      <w:r>
        <w:rPr>
          <w:rFonts w:ascii="Arial" w:cs="Arial" w:eastAsia="Arial" w:hAnsi="Arial"/>
          <w:sz w:val="18"/>
          <w:szCs w:val="18"/>
          <w:color w:val="auto"/>
        </w:rPr>
        <w:t>10.6</w:t>
        <w:tab/>
        <w:t>Non-Qualified Stock Option Agreement between Rohit Kapoor and the Company dated July 27, 2006 (incorporated by reference to Exhibit 10.42 to Amendment No. 5 to the Company’s Registration Statement on Form S-1 (File No. 333-121001)).</w:t>
      </w:r>
    </w:p>
    <w:p>
      <w:pPr>
        <w:spacing w:after="0" w:line="78"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31.1</w:t>
        <w:tab/>
        <w:t>Certification of the Chief Executive Officer of ExlService Holdings, pursuant to Rule 13a-14 of the Exchange Act, as adopted pursuant to Section 302 of the Sarbanes-Oxley Act of 2002 (furnished herewith).</w:t>
      </w:r>
    </w:p>
    <w:p>
      <w:pPr>
        <w:spacing w:after="0" w:line="78" w:lineRule="exact"/>
        <w:rPr>
          <w:sz w:val="20"/>
          <w:szCs w:val="20"/>
          <w:color w:val="auto"/>
        </w:rPr>
      </w:pPr>
    </w:p>
    <w:p>
      <w:pPr>
        <w:ind w:left="580" w:right="140" w:hanging="580"/>
        <w:spacing w:after="0" w:line="268" w:lineRule="auto"/>
        <w:tabs>
          <w:tab w:leader="none" w:pos="560" w:val="left"/>
        </w:tabs>
        <w:rPr>
          <w:sz w:val="20"/>
          <w:szCs w:val="20"/>
          <w:color w:val="auto"/>
        </w:rPr>
      </w:pPr>
      <w:r>
        <w:rPr>
          <w:rFonts w:ascii="Arial" w:cs="Arial" w:eastAsia="Arial" w:hAnsi="Arial"/>
          <w:sz w:val="18"/>
          <w:szCs w:val="18"/>
          <w:color w:val="auto"/>
        </w:rPr>
        <w:t>31.2</w:t>
        <w:tab/>
        <w:t>Certification of the Chief Financial Officer of ExlService Holdings, pursuant to Rule 13a-14 of the Exchange Act, as adopted pursuant to Section 302 of the Sarbanes-Oxley Act of 2002 (furnished herewith).</w:t>
      </w:r>
    </w:p>
    <w:p>
      <w:pPr>
        <w:spacing w:after="0" w:line="78" w:lineRule="exact"/>
        <w:rPr>
          <w:sz w:val="20"/>
          <w:szCs w:val="20"/>
          <w:color w:val="auto"/>
        </w:rPr>
      </w:pPr>
    </w:p>
    <w:p>
      <w:pPr>
        <w:ind w:left="580" w:right="680" w:hanging="580"/>
        <w:spacing w:after="0" w:line="268" w:lineRule="auto"/>
        <w:tabs>
          <w:tab w:leader="none" w:pos="560" w:val="left"/>
        </w:tabs>
        <w:rPr>
          <w:sz w:val="20"/>
          <w:szCs w:val="20"/>
          <w:color w:val="auto"/>
        </w:rPr>
      </w:pPr>
      <w:r>
        <w:rPr>
          <w:rFonts w:ascii="Arial" w:cs="Arial" w:eastAsia="Arial" w:hAnsi="Arial"/>
          <w:sz w:val="18"/>
          <w:szCs w:val="18"/>
          <w:color w:val="auto"/>
        </w:rPr>
        <w:t>32.1</w:t>
        <w:tab/>
        <w:t>Certification of the Chief Executive Officer pursuant to Rule 13a-14(b) of the Exchange Act and 18 U.S.C. Section 1350, as adopted pursuant to Section 906 of the Sarbanes-Oxley Act of 2002 (furnished herewith).</w:t>
      </w:r>
    </w:p>
    <w:p>
      <w:pPr>
        <w:spacing w:after="0" w:line="78" w:lineRule="exact"/>
        <w:rPr>
          <w:sz w:val="20"/>
          <w:szCs w:val="20"/>
          <w:color w:val="auto"/>
        </w:rPr>
      </w:pPr>
    </w:p>
    <w:p>
      <w:pPr>
        <w:ind w:left="580" w:right="740" w:hanging="580"/>
        <w:spacing w:after="0" w:line="268" w:lineRule="auto"/>
        <w:tabs>
          <w:tab w:leader="none" w:pos="560" w:val="left"/>
        </w:tabs>
        <w:rPr>
          <w:sz w:val="20"/>
          <w:szCs w:val="20"/>
          <w:color w:val="auto"/>
        </w:rPr>
      </w:pPr>
      <w:r>
        <w:rPr>
          <w:rFonts w:ascii="Arial" w:cs="Arial" w:eastAsia="Arial" w:hAnsi="Arial"/>
          <w:sz w:val="18"/>
          <w:szCs w:val="18"/>
          <w:color w:val="auto"/>
        </w:rPr>
        <w:t>32.2</w:t>
        <w:tab/>
        <w:t>Certification of the Chief Financial Officer pursuant to Rule 13a-14(b) of the Exchange Act and 18 U.S.C. Section 1350, as adopted pursuant to Section 906 of the Sarbanes-Oxley Act of 2002 (furnished herewith).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29, 2006</w:t>
      </w:r>
      <w:r>
        <w:rPr>
          <w:sz w:val="20"/>
          <w:szCs w:val="20"/>
          <w:color w:val="auto"/>
        </w:rPr>
        <w:tab/>
      </w:r>
      <w:r>
        <w:rPr>
          <w:rFonts w:ascii="Arial" w:cs="Arial" w:eastAsia="Arial" w:hAnsi="Arial"/>
          <w:sz w:val="16"/>
          <w:szCs w:val="16"/>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(Duly Authorized Signatory, Principal Financial and Accounting Officer)</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240" w:top="459" w:right="5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firstLine="4"/>
        <w:spacing w:after="0" w:line="332" w:lineRule="auto"/>
        <w:tabs>
          <w:tab w:leader="none" w:pos="70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332" w:lineRule="auto"/>
        <w:tabs>
          <w:tab w:leader="none" w:pos="69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29,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firstLine="4"/>
        <w:spacing w:after="0" w:line="332" w:lineRule="auto"/>
        <w:tabs>
          <w:tab w:leader="none" w:pos="7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332" w:lineRule="auto"/>
        <w:tabs>
          <w:tab w:leader="none" w:pos="69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29,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Q for the period ending September 30, 2006 as filed with the Securities and Exchange Commission on the date hereof (the “Report”), I, Vikram Talwar,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2006</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Q for the period ending September 30, 2006 as filed with the Securities and Exchange Commission on the date hereof (the “Report”), I, Rohit Kapoor, President and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6"/>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2019-12-15T11:13:18Z</dcterms:created>
  <dcterms:modified xsi:type="dcterms:W3CDTF">2019-12-15T11:13:18Z</dcterms:modified>
</cp:coreProperties>
</file>